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304F7AB7" w:rsidR="005F286E" w:rsidRPr="003B7300" w:rsidRDefault="000F43E1" w:rsidP="00CF6E3E">
      <w:pPr>
        <w:pStyle w:val="RSCH1"/>
        <w:rPr>
          <w:color w:val="991E66"/>
        </w:rPr>
      </w:pPr>
      <w:r>
        <w:rPr>
          <w:color w:val="991E66"/>
        </w:rPr>
        <w:t>Let’s get fizzical</w:t>
      </w:r>
    </w:p>
    <w:p w14:paraId="665E0536" w14:textId="7E7537E0"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r w:rsidR="000F43E1">
        <w:rPr>
          <w:rFonts w:ascii="Century Gothic" w:eastAsia="Calibri" w:hAnsi="Century Gothic" w:cs="Calibri"/>
          <w:b/>
          <w:color w:val="222222"/>
          <w:sz w:val="22"/>
          <w:szCs w:val="22"/>
        </w:rPr>
        <w:t>Let’s get fizzical</w:t>
      </w:r>
      <w:r w:rsidR="00104CB2">
        <w:rPr>
          <w:rFonts w:ascii="Century Gothic" w:eastAsia="Calibri" w:hAnsi="Century Gothic" w:cs="Calibri"/>
          <w:b/>
          <w:color w:val="222222"/>
          <w:sz w:val="22"/>
          <w:szCs w:val="22"/>
        </w:rPr>
        <w:t xml:space="preserve"> </w:t>
      </w:r>
      <w:r w:rsidR="00104CB2">
        <w:rPr>
          <w:rFonts w:ascii="Century Gothic" w:hAnsi="Century Gothic"/>
          <w:sz w:val="22"/>
          <w:szCs w:val="22"/>
          <w:lang w:eastAsia="en-GB"/>
        </w:rPr>
        <w:t>from</w:t>
      </w:r>
      <w:r w:rsidR="001A278F" w:rsidRPr="000878DA">
        <w:rPr>
          <w:rFonts w:ascii="Century Gothic" w:hAnsi="Century Gothic"/>
          <w:sz w:val="22"/>
          <w:szCs w:val="22"/>
          <w:lang w:eastAsia="en-GB"/>
        </w:rPr>
        <w:t xml:space="preserve"> </w:t>
      </w:r>
      <w:r w:rsidR="001A278F" w:rsidRPr="000878DA">
        <w:rPr>
          <w:rFonts w:ascii="Century Gothic" w:hAnsi="Century Gothic"/>
          <w:i/>
          <w:iCs/>
          <w:sz w:val="22"/>
          <w:szCs w:val="22"/>
          <w:lang w:eastAsia="en-GB"/>
        </w:rPr>
        <w:t>Education in Chemistry</w:t>
      </w:r>
      <w:r w:rsidR="001A278F" w:rsidRPr="000878DA">
        <w:rPr>
          <w:rFonts w:ascii="Century Gothic" w:hAnsi="Century Gothic"/>
          <w:sz w:val="22"/>
          <w:szCs w:val="22"/>
          <w:lang w:eastAsia="en-GB"/>
        </w:rPr>
        <w:t xml:space="preserve"> which can be viewed at: </w:t>
      </w:r>
      <w:hyperlink r:id="rId8" w:history="1">
        <w:r w:rsidR="00971D51" w:rsidRPr="00576C49">
          <w:rPr>
            <w:rStyle w:val="Hyperlink"/>
            <w:rFonts w:ascii="Century Gothic" w:hAnsi="Century Gothic"/>
            <w:sz w:val="22"/>
            <w:szCs w:val="22"/>
            <w:lang w:eastAsia="en-GB"/>
          </w:rPr>
          <w:t>https://rsc.li/42AC21P</w:t>
        </w:r>
      </w:hyperlink>
    </w:p>
    <w:p w14:paraId="403ED110" w14:textId="14BDB040" w:rsidR="000F43E1" w:rsidRDefault="000F43E1" w:rsidP="00104CB2">
      <w:pPr>
        <w:pStyle w:val="RSCH2"/>
        <w:rPr>
          <w:b w:val="0"/>
          <w:bCs w:val="0"/>
          <w:color w:val="auto"/>
          <w:sz w:val="22"/>
          <w:lang w:eastAsia="en-GB"/>
        </w:rPr>
      </w:pPr>
      <w:r w:rsidRPr="000F43E1">
        <w:rPr>
          <w:b w:val="0"/>
          <w:bCs w:val="0"/>
          <w:color w:val="auto"/>
          <w:sz w:val="22"/>
          <w:lang w:eastAsia="en-GB"/>
        </w:rPr>
        <w:t xml:space="preserve">I love operating in the space between the kinetic and the thermodynamic. It’s here where the seemingly simple becomes complex, and it’s a reminder of the precious interplay of time and energy that allows life to eke out an existence. It’s in this space that we can answer questions like; should alkali metals explode in water? Why don’t diamonds turn into graphite? How do clouds form? Why does food explode in a microwave? And we can explain oscillating reactions. </w:t>
      </w:r>
      <w:r w:rsidR="00AF6776" w:rsidRPr="00AF6776">
        <w:rPr>
          <w:b w:val="0"/>
          <w:bCs w:val="0"/>
          <w:color w:val="auto"/>
          <w:sz w:val="22"/>
          <w:lang w:eastAsia="en-GB"/>
        </w:rPr>
        <w:t>I have a fascinating fizzy fluctuation for you to explore oscillating reactions and the concepts of kinetics and thermodynamics with your learners.</w:t>
      </w:r>
    </w:p>
    <w:p w14:paraId="3D4CC486" w14:textId="5508735E" w:rsidR="0009292F" w:rsidRDefault="00446F05" w:rsidP="00104CB2">
      <w:pPr>
        <w:pStyle w:val="RSCH2"/>
        <w:rPr>
          <w:color w:val="8E1055"/>
          <w:lang w:eastAsia="en-GB"/>
        </w:rPr>
      </w:pPr>
      <w:r>
        <w:rPr>
          <w:color w:val="8E1055"/>
          <w:lang w:eastAsia="en-GB"/>
        </w:rPr>
        <w:t>L</w:t>
      </w:r>
      <w:r w:rsidR="0009292F">
        <w:rPr>
          <w:color w:val="8E1055"/>
          <w:lang w:eastAsia="en-GB"/>
        </w:rPr>
        <w:t>evel</w:t>
      </w:r>
    </w:p>
    <w:p w14:paraId="62B00222" w14:textId="2EC849F6" w:rsidR="0009292F" w:rsidRDefault="00446F05" w:rsidP="0009292F">
      <w:pPr>
        <w:pStyle w:val="RSC2-columntabs"/>
        <w:rPr>
          <w:lang w:eastAsia="en-GB"/>
        </w:rPr>
      </w:pPr>
      <w:r>
        <w:rPr>
          <w:lang w:eastAsia="en-GB"/>
        </w:rPr>
        <w:t xml:space="preserve">This demonstration is ideally suited to lessons on </w:t>
      </w:r>
      <w:r w:rsidR="00C60CC7">
        <w:rPr>
          <w:lang w:eastAsia="en-GB"/>
        </w:rPr>
        <w:t xml:space="preserve">rates of reaction and/or </w:t>
      </w:r>
      <w:r w:rsidR="00216FB7">
        <w:rPr>
          <w:lang w:eastAsia="en-GB"/>
        </w:rPr>
        <w:t>thermodynamics and kinetics</w:t>
      </w:r>
      <w:r>
        <w:rPr>
          <w:lang w:eastAsia="en-GB"/>
        </w:rPr>
        <w:t xml:space="preserve"> for learners</w:t>
      </w:r>
      <w:r w:rsidR="0009292F">
        <w:rPr>
          <w:lang w:eastAsia="en-GB"/>
        </w:rPr>
        <w:t xml:space="preserve"> aged </w:t>
      </w:r>
      <w:r w:rsidR="00351138" w:rsidRPr="00351138">
        <w:rPr>
          <w:lang w:eastAsia="en-GB"/>
        </w:rPr>
        <w:t>16–18</w:t>
      </w:r>
      <w:r>
        <w:rPr>
          <w:lang w:eastAsia="en-GB"/>
        </w:rPr>
        <w:t>.</w:t>
      </w:r>
    </w:p>
    <w:p w14:paraId="4449B9EA" w14:textId="45B6AEAF" w:rsidR="00104CB2" w:rsidRDefault="00104CB2" w:rsidP="00104CB2">
      <w:pPr>
        <w:pStyle w:val="RSCH2"/>
        <w:rPr>
          <w:color w:val="8E1055"/>
          <w:lang w:eastAsia="en-GB"/>
        </w:rPr>
      </w:pPr>
      <w:r w:rsidRPr="00104CB2">
        <w:rPr>
          <w:color w:val="8E1055"/>
          <w:lang w:eastAsia="en-GB"/>
        </w:rPr>
        <w:t>Equipment</w:t>
      </w:r>
    </w:p>
    <w:p w14:paraId="1EB390AA" w14:textId="77777777" w:rsidR="00216FB7" w:rsidRDefault="00216FB7" w:rsidP="00216FB7">
      <w:pPr>
        <w:pStyle w:val="RSCBulletedlist"/>
        <w:numPr>
          <w:ilvl w:val="0"/>
          <w:numId w:val="22"/>
        </w:numPr>
        <w:spacing w:line="256" w:lineRule="auto"/>
        <w:rPr>
          <w:lang w:eastAsia="en-GB"/>
        </w:rPr>
      </w:pPr>
      <w:r>
        <w:rPr>
          <w:lang w:eastAsia="en-GB"/>
        </w:rPr>
        <w:t>2.6 g ammonium sulfate(</w:t>
      </w:r>
      <w:r w:rsidRPr="00216FB7">
        <w:rPr>
          <w:smallCaps/>
          <w:lang w:eastAsia="en-GB"/>
        </w:rPr>
        <w:t>VI</w:t>
      </w:r>
      <w:r>
        <w:rPr>
          <w:lang w:eastAsia="en-GB"/>
        </w:rPr>
        <w:t>)</w:t>
      </w:r>
    </w:p>
    <w:p w14:paraId="69C19E5A" w14:textId="77777777" w:rsidR="00216FB7" w:rsidRDefault="00216FB7" w:rsidP="00216FB7">
      <w:pPr>
        <w:pStyle w:val="RSCBulletedlist"/>
        <w:numPr>
          <w:ilvl w:val="0"/>
          <w:numId w:val="22"/>
        </w:numPr>
        <w:spacing w:line="256" w:lineRule="auto"/>
        <w:rPr>
          <w:lang w:eastAsia="en-GB"/>
        </w:rPr>
      </w:pPr>
      <w:r>
        <w:rPr>
          <w:lang w:eastAsia="en-GB"/>
        </w:rPr>
        <w:t>10 cm</w:t>
      </w:r>
      <w:r w:rsidRPr="00216FB7">
        <w:rPr>
          <w:vertAlign w:val="superscript"/>
          <w:lang w:eastAsia="en-GB"/>
        </w:rPr>
        <w:t>3</w:t>
      </w:r>
      <w:r>
        <w:rPr>
          <w:lang w:eastAsia="en-GB"/>
        </w:rPr>
        <w:t xml:space="preserve"> 0.2 M sulfuric(</w:t>
      </w:r>
      <w:r w:rsidRPr="00216FB7">
        <w:rPr>
          <w:smallCaps/>
          <w:lang w:eastAsia="en-GB"/>
        </w:rPr>
        <w:t>VI</w:t>
      </w:r>
      <w:r>
        <w:rPr>
          <w:lang w:eastAsia="en-GB"/>
        </w:rPr>
        <w:t>) acid</w:t>
      </w:r>
    </w:p>
    <w:p w14:paraId="43E4BF4F" w14:textId="77777777" w:rsidR="00216FB7" w:rsidRDefault="00216FB7" w:rsidP="00216FB7">
      <w:pPr>
        <w:pStyle w:val="RSCBulletedlist"/>
        <w:numPr>
          <w:ilvl w:val="0"/>
          <w:numId w:val="22"/>
        </w:numPr>
        <w:spacing w:line="256" w:lineRule="auto"/>
        <w:rPr>
          <w:lang w:eastAsia="en-GB"/>
        </w:rPr>
      </w:pPr>
      <w:r>
        <w:rPr>
          <w:lang w:eastAsia="en-GB"/>
        </w:rPr>
        <w:t>2.7 g sodium nitrate(</w:t>
      </w:r>
      <w:r w:rsidRPr="00216FB7">
        <w:rPr>
          <w:smallCaps/>
          <w:lang w:eastAsia="en-GB"/>
        </w:rPr>
        <w:t>III</w:t>
      </w:r>
      <w:r>
        <w:rPr>
          <w:lang w:eastAsia="en-GB"/>
        </w:rPr>
        <w:t xml:space="preserve">) </w:t>
      </w:r>
    </w:p>
    <w:p w14:paraId="398C00A8" w14:textId="77777777" w:rsidR="00216FB7" w:rsidRDefault="00216FB7" w:rsidP="00216FB7">
      <w:pPr>
        <w:pStyle w:val="RSCBulletedlist"/>
        <w:numPr>
          <w:ilvl w:val="0"/>
          <w:numId w:val="22"/>
        </w:numPr>
        <w:spacing w:line="256" w:lineRule="auto"/>
        <w:rPr>
          <w:lang w:eastAsia="en-GB"/>
        </w:rPr>
      </w:pPr>
      <w:r>
        <w:rPr>
          <w:lang w:eastAsia="en-GB"/>
        </w:rPr>
        <w:t>10 cm</w:t>
      </w:r>
      <w:r w:rsidRPr="00216FB7">
        <w:rPr>
          <w:vertAlign w:val="superscript"/>
          <w:lang w:eastAsia="en-GB"/>
        </w:rPr>
        <w:t>3</w:t>
      </w:r>
      <w:r>
        <w:rPr>
          <w:lang w:eastAsia="en-GB"/>
        </w:rPr>
        <w:t xml:space="preserve"> deionized water</w:t>
      </w:r>
    </w:p>
    <w:p w14:paraId="4B020765" w14:textId="77777777" w:rsidR="00216FB7" w:rsidRDefault="00216FB7" w:rsidP="00216FB7">
      <w:pPr>
        <w:pStyle w:val="RSCBulletedlist"/>
        <w:numPr>
          <w:ilvl w:val="0"/>
          <w:numId w:val="22"/>
        </w:numPr>
        <w:spacing w:line="256" w:lineRule="auto"/>
        <w:rPr>
          <w:lang w:eastAsia="en-GB"/>
        </w:rPr>
      </w:pPr>
      <w:r>
        <w:rPr>
          <w:lang w:eastAsia="en-GB"/>
        </w:rPr>
        <w:t>Two 100 cm</w:t>
      </w:r>
      <w:r w:rsidRPr="00216FB7">
        <w:rPr>
          <w:vertAlign w:val="superscript"/>
          <w:lang w:eastAsia="en-GB"/>
        </w:rPr>
        <w:t>3</w:t>
      </w:r>
      <w:r>
        <w:rPr>
          <w:lang w:eastAsia="en-GB"/>
        </w:rPr>
        <w:t xml:space="preserve"> beakers</w:t>
      </w:r>
    </w:p>
    <w:p w14:paraId="27E289C8" w14:textId="77777777" w:rsidR="00216FB7" w:rsidRDefault="00216FB7" w:rsidP="00216FB7">
      <w:pPr>
        <w:pStyle w:val="RSCBulletedlist"/>
        <w:numPr>
          <w:ilvl w:val="0"/>
          <w:numId w:val="22"/>
        </w:numPr>
        <w:spacing w:line="256" w:lineRule="auto"/>
        <w:rPr>
          <w:lang w:eastAsia="en-GB"/>
        </w:rPr>
      </w:pPr>
      <w:r>
        <w:rPr>
          <w:lang w:eastAsia="en-GB"/>
        </w:rPr>
        <w:t>Clean borosilicate boiling tube (see note)</w:t>
      </w:r>
    </w:p>
    <w:p w14:paraId="38CC7A33" w14:textId="77777777" w:rsidR="00216FB7" w:rsidRDefault="00216FB7" w:rsidP="00216FB7">
      <w:pPr>
        <w:pStyle w:val="RSCBulletedlist"/>
        <w:numPr>
          <w:ilvl w:val="0"/>
          <w:numId w:val="22"/>
        </w:numPr>
        <w:spacing w:line="256" w:lineRule="auto"/>
        <w:rPr>
          <w:lang w:eastAsia="en-GB"/>
        </w:rPr>
      </w:pPr>
      <w:r>
        <w:rPr>
          <w:lang w:eastAsia="en-GB"/>
        </w:rPr>
        <w:t>Boiling tube rack</w:t>
      </w:r>
    </w:p>
    <w:p w14:paraId="791D7158" w14:textId="77777777" w:rsidR="00585938" w:rsidRDefault="00307510" w:rsidP="00585938">
      <w:pPr>
        <w:pStyle w:val="RSCH2"/>
        <w:spacing w:before="100" w:beforeAutospacing="1" w:after="120"/>
        <w:rPr>
          <w:color w:val="8E1055"/>
          <w:lang w:eastAsia="en-GB"/>
        </w:rPr>
      </w:pPr>
      <w:r>
        <w:rPr>
          <w:color w:val="8E1055"/>
          <w:lang w:eastAsia="en-GB"/>
        </w:rPr>
        <w:t>Preparation</w:t>
      </w:r>
    </w:p>
    <w:p w14:paraId="1F58D90B" w14:textId="7E978C1B" w:rsidR="00971D51" w:rsidRDefault="00971D51" w:rsidP="00641404">
      <w:pPr>
        <w:pStyle w:val="RSCH2"/>
        <w:spacing w:before="0"/>
        <w:rPr>
          <w:b w:val="0"/>
          <w:bCs w:val="0"/>
          <w:color w:val="auto"/>
          <w:sz w:val="22"/>
          <w:lang w:eastAsia="en-GB"/>
        </w:rPr>
      </w:pPr>
      <w:r w:rsidRPr="00971D51">
        <w:rPr>
          <w:b w:val="0"/>
          <w:bCs w:val="0"/>
          <w:color w:val="auto"/>
          <w:sz w:val="22"/>
          <w:lang w:eastAsia="en-GB"/>
        </w:rPr>
        <w:t>Separately prepare the two solutions in 100 cm</w:t>
      </w:r>
      <w:r w:rsidRPr="00F96FDA">
        <w:rPr>
          <w:b w:val="0"/>
          <w:bCs w:val="0"/>
          <w:color w:val="auto"/>
          <w:sz w:val="22"/>
          <w:vertAlign w:val="superscript"/>
          <w:lang w:eastAsia="en-GB"/>
        </w:rPr>
        <w:t>3</w:t>
      </w:r>
      <w:r w:rsidRPr="00971D51">
        <w:rPr>
          <w:b w:val="0"/>
          <w:bCs w:val="0"/>
          <w:color w:val="auto"/>
          <w:sz w:val="22"/>
          <w:lang w:eastAsia="en-GB"/>
        </w:rPr>
        <w:t xml:space="preserve"> beakers. Make the acidified 2 M ammonium sulfate(</w:t>
      </w:r>
      <w:r w:rsidRPr="00866EB2">
        <w:rPr>
          <w:b w:val="0"/>
          <w:bCs w:val="0"/>
          <w:smallCaps/>
          <w:color w:val="auto"/>
          <w:sz w:val="22"/>
          <w:lang w:eastAsia="en-GB"/>
        </w:rPr>
        <w:t>VI</w:t>
      </w:r>
      <w:r w:rsidRPr="00971D51">
        <w:rPr>
          <w:b w:val="0"/>
          <w:bCs w:val="0"/>
          <w:color w:val="auto"/>
          <w:sz w:val="22"/>
          <w:lang w:eastAsia="en-GB"/>
        </w:rPr>
        <w:t>) solution by dissolving 2.6 g solid ammonium sulfate(</w:t>
      </w:r>
      <w:r w:rsidRPr="00866EB2">
        <w:rPr>
          <w:b w:val="0"/>
          <w:bCs w:val="0"/>
          <w:smallCaps/>
          <w:color w:val="auto"/>
          <w:sz w:val="22"/>
          <w:lang w:eastAsia="en-GB"/>
        </w:rPr>
        <w:t>VI</w:t>
      </w:r>
      <w:r w:rsidRPr="00971D51">
        <w:rPr>
          <w:b w:val="0"/>
          <w:bCs w:val="0"/>
          <w:color w:val="auto"/>
          <w:sz w:val="22"/>
          <w:lang w:eastAsia="en-GB"/>
        </w:rPr>
        <w:t>) in 10 cm</w:t>
      </w:r>
      <w:r w:rsidRPr="00F96FDA">
        <w:rPr>
          <w:b w:val="0"/>
          <w:bCs w:val="0"/>
          <w:color w:val="auto"/>
          <w:sz w:val="22"/>
          <w:vertAlign w:val="superscript"/>
          <w:lang w:eastAsia="en-GB"/>
        </w:rPr>
        <w:t>3</w:t>
      </w:r>
      <w:r w:rsidRPr="00971D51">
        <w:rPr>
          <w:b w:val="0"/>
          <w:bCs w:val="0"/>
          <w:color w:val="auto"/>
          <w:sz w:val="22"/>
          <w:lang w:eastAsia="en-GB"/>
        </w:rPr>
        <w:t xml:space="preserve"> of 0.2 M sulfuric(</w:t>
      </w:r>
      <w:r w:rsidRPr="00866EB2">
        <w:rPr>
          <w:b w:val="0"/>
          <w:bCs w:val="0"/>
          <w:smallCaps/>
          <w:color w:val="auto"/>
          <w:sz w:val="22"/>
          <w:lang w:eastAsia="en-GB"/>
        </w:rPr>
        <w:t>VI</w:t>
      </w:r>
      <w:r w:rsidRPr="00971D51">
        <w:rPr>
          <w:b w:val="0"/>
          <w:bCs w:val="0"/>
          <w:color w:val="auto"/>
          <w:sz w:val="22"/>
          <w:lang w:eastAsia="en-GB"/>
        </w:rPr>
        <w:t>) acid. Dissolve 2.7 g solid sodium nitrate(</w:t>
      </w:r>
      <w:r w:rsidRPr="00866EB2">
        <w:rPr>
          <w:b w:val="0"/>
          <w:bCs w:val="0"/>
          <w:smallCaps/>
          <w:color w:val="auto"/>
          <w:sz w:val="22"/>
          <w:lang w:eastAsia="en-GB"/>
        </w:rPr>
        <w:t>III</w:t>
      </w:r>
      <w:r w:rsidRPr="00971D51">
        <w:rPr>
          <w:b w:val="0"/>
          <w:bCs w:val="0"/>
          <w:color w:val="auto"/>
          <w:sz w:val="22"/>
          <w:lang w:eastAsia="en-GB"/>
        </w:rPr>
        <w:t>) in 10 cm</w:t>
      </w:r>
      <w:r w:rsidRPr="00F96FDA">
        <w:rPr>
          <w:b w:val="0"/>
          <w:bCs w:val="0"/>
          <w:color w:val="auto"/>
          <w:sz w:val="22"/>
          <w:vertAlign w:val="superscript"/>
          <w:lang w:eastAsia="en-GB"/>
        </w:rPr>
        <w:t>3</w:t>
      </w:r>
      <w:r w:rsidRPr="00971D51">
        <w:rPr>
          <w:b w:val="0"/>
          <w:bCs w:val="0"/>
          <w:color w:val="auto"/>
          <w:sz w:val="22"/>
          <w:lang w:eastAsia="en-GB"/>
        </w:rPr>
        <w:t xml:space="preserve"> of deionised water to make the ≈3.9 M sodium nitrate(</w:t>
      </w:r>
      <w:r w:rsidRPr="00866EB2">
        <w:rPr>
          <w:b w:val="0"/>
          <w:bCs w:val="0"/>
          <w:smallCaps/>
          <w:color w:val="auto"/>
          <w:sz w:val="22"/>
          <w:lang w:eastAsia="en-GB"/>
        </w:rPr>
        <w:t>III</w:t>
      </w:r>
      <w:r w:rsidRPr="00971D51">
        <w:rPr>
          <w:b w:val="0"/>
          <w:bCs w:val="0"/>
          <w:color w:val="auto"/>
          <w:sz w:val="22"/>
          <w:lang w:eastAsia="en-GB"/>
        </w:rPr>
        <w:t>) solution. Stir each solution thoroughly until completely dissolved. For the supersaturation effect to work best, there should be no pieces of solid present.</w:t>
      </w:r>
    </w:p>
    <w:p w14:paraId="2C7A0A05" w14:textId="177DF044" w:rsidR="00971D51" w:rsidRDefault="00971D51" w:rsidP="00216FB7">
      <w:pPr>
        <w:pStyle w:val="RSCH2"/>
        <w:rPr>
          <w:b w:val="0"/>
          <w:bCs w:val="0"/>
          <w:color w:val="auto"/>
          <w:sz w:val="22"/>
          <w:lang w:eastAsia="en-GB"/>
        </w:rPr>
      </w:pPr>
    </w:p>
    <w:p w14:paraId="55771CCB" w14:textId="77777777" w:rsidR="00641404" w:rsidRDefault="00641404" w:rsidP="00216FB7">
      <w:pPr>
        <w:pStyle w:val="RSCH2"/>
        <w:rPr>
          <w:b w:val="0"/>
          <w:bCs w:val="0"/>
          <w:color w:val="auto"/>
          <w:sz w:val="22"/>
          <w:lang w:eastAsia="en-GB"/>
        </w:rPr>
      </w:pPr>
    </w:p>
    <w:p w14:paraId="177A9F5D" w14:textId="16E6D761" w:rsidR="00307510" w:rsidRDefault="00971D51" w:rsidP="00216FB7">
      <w:pPr>
        <w:pStyle w:val="RSCH2"/>
        <w:rPr>
          <w:color w:val="8E1055"/>
          <w:lang w:eastAsia="en-GB"/>
        </w:rPr>
      </w:pPr>
      <w:r>
        <w:rPr>
          <w:noProof/>
          <w:color w:val="8E1055"/>
          <w:lang w:eastAsia="en-GB"/>
        </w:rPr>
        <w:lastRenderedPageBreak/>
        <mc:AlternateContent>
          <mc:Choice Requires="wps">
            <w:drawing>
              <wp:anchor distT="0" distB="0" distL="114300" distR="114300" simplePos="0" relativeHeight="251659264" behindDoc="0" locked="0" layoutInCell="1" allowOverlap="1" wp14:anchorId="6B41BB18" wp14:editId="7AA3D265">
                <wp:simplePos x="0" y="0"/>
                <wp:positionH relativeFrom="margin">
                  <wp:align>center</wp:align>
                </wp:positionH>
                <wp:positionV relativeFrom="paragraph">
                  <wp:posOffset>-64770</wp:posOffset>
                </wp:positionV>
                <wp:extent cx="6210300" cy="1756410"/>
                <wp:effectExtent l="19050" t="19050" r="19050" b="1524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0300" cy="1756410"/>
                        </a:xfrm>
                        <a:prstGeom prst="rect">
                          <a:avLst/>
                        </a:prstGeom>
                        <a:noFill/>
                        <a:ln w="28575">
                          <a:solidFill>
                            <a:srgbClr val="8E10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DAB51" id="Rectangle 3" o:spid="_x0000_s1026" alt="&quot;&quot;" style="position:absolute;margin-left:0;margin-top:-5.1pt;width:489pt;height:13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" filled="f" strokecolor="#8e1055" strokeweight="2.25pt">
                <w10:wrap anchorx="margin"/>
              </v:rect>
            </w:pict>
          </mc:Fallback>
        </mc:AlternateContent>
      </w:r>
      <w:r w:rsidR="00307510">
        <w:rPr>
          <w:color w:val="8E1055"/>
          <w:lang w:eastAsia="en-GB"/>
        </w:rPr>
        <w:t xml:space="preserve">Safety </w:t>
      </w:r>
      <w:r w:rsidR="00414DC8">
        <w:rPr>
          <w:color w:val="8E1055"/>
          <w:lang w:eastAsia="en-GB"/>
        </w:rPr>
        <w:t xml:space="preserve">and disposal </w:t>
      </w:r>
      <w:r w:rsidR="00307510">
        <w:rPr>
          <w:color w:val="8E1055"/>
          <w:lang w:eastAsia="en-GB"/>
        </w:rPr>
        <w:t xml:space="preserve">notes </w:t>
      </w:r>
    </w:p>
    <w:p w14:paraId="50395BF9" w14:textId="5FF71B71" w:rsidR="00307510" w:rsidRDefault="00971D51" w:rsidP="00803338">
      <w:pPr>
        <w:pStyle w:val="RSCBulletedlist"/>
        <w:numPr>
          <w:ilvl w:val="0"/>
          <w:numId w:val="24"/>
        </w:numPr>
        <w:rPr>
          <w:lang w:eastAsia="en-GB"/>
        </w:rPr>
      </w:pPr>
      <w:r>
        <w:rPr>
          <w:lang w:eastAsia="en-GB"/>
        </w:rPr>
        <w:t>Work in a fume cupboard.</w:t>
      </w:r>
    </w:p>
    <w:p w14:paraId="10023386" w14:textId="0896DA1C" w:rsidR="00803338" w:rsidRDefault="00971D51" w:rsidP="00803338">
      <w:pPr>
        <w:pStyle w:val="RSCBulletedlist"/>
        <w:numPr>
          <w:ilvl w:val="0"/>
          <w:numId w:val="24"/>
        </w:numPr>
        <w:rPr>
          <w:lang w:eastAsia="en-GB"/>
        </w:rPr>
      </w:pPr>
      <w:r>
        <w:rPr>
          <w:lang w:eastAsia="en-GB"/>
        </w:rPr>
        <w:t>Wear eye protection.</w:t>
      </w:r>
    </w:p>
    <w:p w14:paraId="6B4F6A7F" w14:textId="51E15B91" w:rsidR="00747E9A" w:rsidRDefault="00971D51" w:rsidP="00803338">
      <w:pPr>
        <w:pStyle w:val="RSCBulletedlist"/>
        <w:numPr>
          <w:ilvl w:val="0"/>
          <w:numId w:val="24"/>
        </w:numPr>
        <w:rPr>
          <w:lang w:eastAsia="en-GB"/>
        </w:rPr>
      </w:pPr>
      <w:r>
        <w:rPr>
          <w:lang w:eastAsia="en-GB"/>
        </w:rPr>
        <w:t>Avoid skin contact.</w:t>
      </w:r>
    </w:p>
    <w:p w14:paraId="4D829E58" w14:textId="238D205B" w:rsidR="00971D51" w:rsidRDefault="00971D51" w:rsidP="00803338">
      <w:pPr>
        <w:pStyle w:val="RSCBulletedlist"/>
        <w:numPr>
          <w:ilvl w:val="0"/>
          <w:numId w:val="24"/>
        </w:numPr>
        <w:rPr>
          <w:lang w:eastAsia="en-GB"/>
        </w:rPr>
      </w:pPr>
      <w:r>
        <w:rPr>
          <w:lang w:eastAsia="en-GB"/>
        </w:rPr>
        <w:t xml:space="preserve">Sodium nitrite is </w:t>
      </w:r>
      <w:r w:rsidR="006019C6">
        <w:rPr>
          <w:lang w:eastAsia="en-GB"/>
        </w:rPr>
        <w:t>oxidising</w:t>
      </w:r>
      <w:r>
        <w:rPr>
          <w:lang w:eastAsia="en-GB"/>
        </w:rPr>
        <w:t>, toxic and toxic to aquatic life.</w:t>
      </w:r>
    </w:p>
    <w:p w14:paraId="43337318" w14:textId="71A6EAAB" w:rsidR="00971D51" w:rsidRDefault="00971D51" w:rsidP="00803338">
      <w:pPr>
        <w:pStyle w:val="RSCBulletedlist"/>
        <w:numPr>
          <w:ilvl w:val="0"/>
          <w:numId w:val="24"/>
        </w:numPr>
        <w:rPr>
          <w:lang w:eastAsia="en-GB"/>
        </w:rPr>
      </w:pPr>
      <w:r>
        <w:rPr>
          <w:lang w:eastAsia="en-GB"/>
        </w:rPr>
        <w:t xml:space="preserve">Take care, the boiling tube will be hot. </w:t>
      </w:r>
    </w:p>
    <w:p w14:paraId="79B2D810" w14:textId="29E2738C" w:rsidR="00307510" w:rsidRDefault="00307510" w:rsidP="00641404">
      <w:pPr>
        <w:pStyle w:val="RSCH2"/>
        <w:rPr>
          <w:color w:val="8E1055"/>
          <w:lang w:eastAsia="en-GB"/>
        </w:rPr>
      </w:pPr>
      <w:r>
        <w:rPr>
          <w:color w:val="8E1055"/>
          <w:lang w:eastAsia="en-GB"/>
        </w:rPr>
        <w:t>In front of the class</w:t>
      </w:r>
    </w:p>
    <w:p w14:paraId="15EF0D44" w14:textId="77777777" w:rsidR="00641404" w:rsidRDefault="00641404" w:rsidP="00641404">
      <w:pPr>
        <w:pStyle w:val="RSCH2"/>
        <w:spacing w:before="0"/>
        <w:rPr>
          <w:b w:val="0"/>
          <w:bCs w:val="0"/>
          <w:color w:val="auto"/>
          <w:sz w:val="22"/>
          <w:lang w:eastAsia="en-GB"/>
        </w:rPr>
      </w:pPr>
      <w:r w:rsidRPr="00641404">
        <w:rPr>
          <w:b w:val="0"/>
          <w:bCs w:val="0"/>
          <w:color w:val="auto"/>
          <w:sz w:val="22"/>
          <w:lang w:eastAsia="en-GB"/>
        </w:rPr>
        <w:t>Wear eye protection and work in a fume cupboard, as oxides of nitrogen will evolve. Pour the contents of one beaker into the other, mix thoroughly and decant immediately into a boiling tube. Brown fumes of nitrogen dioxide (NO</w:t>
      </w:r>
      <w:r w:rsidRPr="007A66FB">
        <w:rPr>
          <w:b w:val="0"/>
          <w:bCs w:val="0"/>
          <w:color w:val="auto"/>
          <w:sz w:val="22"/>
          <w:vertAlign w:val="subscript"/>
          <w:lang w:eastAsia="en-GB"/>
        </w:rPr>
        <w:t>2</w:t>
      </w:r>
      <w:r w:rsidRPr="00641404">
        <w:rPr>
          <w:b w:val="0"/>
          <w:bCs w:val="0"/>
          <w:color w:val="auto"/>
          <w:sz w:val="22"/>
          <w:lang w:eastAsia="en-GB"/>
        </w:rPr>
        <w:t>) will be produced and the reaction will fizz, which will pulse every ≈10 seconds for 5–10 minutes.</w:t>
      </w:r>
    </w:p>
    <w:p w14:paraId="2F2787C7" w14:textId="08829DDE" w:rsidR="00104CB2" w:rsidRDefault="00307510" w:rsidP="00104CB2">
      <w:pPr>
        <w:pStyle w:val="RSCH2"/>
        <w:rPr>
          <w:color w:val="8E1055"/>
          <w:lang w:eastAsia="en-GB"/>
        </w:rPr>
      </w:pPr>
      <w:r>
        <w:rPr>
          <w:color w:val="8E1055"/>
          <w:lang w:eastAsia="en-GB"/>
        </w:rPr>
        <w:t>Teaching goal</w:t>
      </w:r>
    </w:p>
    <w:p w14:paraId="6FB5C971" w14:textId="658D4D00" w:rsidR="00641404" w:rsidRPr="00641404" w:rsidRDefault="00641404" w:rsidP="00641404">
      <w:pPr>
        <w:pStyle w:val="RSCH4"/>
        <w:spacing w:before="0"/>
        <w:rPr>
          <w:i w:val="0"/>
          <w:iCs w:val="0"/>
          <w:color w:val="auto"/>
          <w:sz w:val="22"/>
          <w:szCs w:val="22"/>
          <w:lang w:eastAsia="en-GB"/>
        </w:rPr>
      </w:pPr>
      <w:r w:rsidRPr="00641404">
        <w:rPr>
          <w:i w:val="0"/>
          <w:iCs w:val="0"/>
          <w:color w:val="auto"/>
          <w:sz w:val="22"/>
          <w:szCs w:val="22"/>
          <w:lang w:eastAsia="en-GB"/>
        </w:rPr>
        <w:t>The initial brown gas evolved forms by disproportionation of nitric(</w:t>
      </w:r>
      <w:r w:rsidRPr="006C7677">
        <w:rPr>
          <w:i w:val="0"/>
          <w:iCs w:val="0"/>
          <w:smallCaps/>
          <w:color w:val="auto"/>
          <w:sz w:val="22"/>
          <w:szCs w:val="22"/>
          <w:lang w:eastAsia="en-GB"/>
        </w:rPr>
        <w:t>III</w:t>
      </w:r>
      <w:r w:rsidRPr="00641404">
        <w:rPr>
          <w:i w:val="0"/>
          <w:iCs w:val="0"/>
          <w:color w:val="auto"/>
          <w:sz w:val="22"/>
          <w:szCs w:val="22"/>
          <w:lang w:eastAsia="en-GB"/>
        </w:rPr>
        <w:t>) acid (nitrous acid) at low pH to release nitrogen monoxide (NO) and NO</w:t>
      </w:r>
      <w:r w:rsidRPr="006C7677">
        <w:rPr>
          <w:i w:val="0"/>
          <w:iCs w:val="0"/>
          <w:color w:val="auto"/>
          <w:sz w:val="22"/>
          <w:szCs w:val="22"/>
          <w:vertAlign w:val="subscript"/>
          <w:lang w:eastAsia="en-GB"/>
        </w:rPr>
        <w:t>2</w:t>
      </w:r>
      <w:r w:rsidRPr="00641404">
        <w:rPr>
          <w:i w:val="0"/>
          <w:iCs w:val="0"/>
          <w:color w:val="auto"/>
          <w:sz w:val="22"/>
          <w:szCs w:val="22"/>
          <w:lang w:eastAsia="en-GB"/>
        </w:rPr>
        <w:t>. As the pH increases, this process slows, and the show begins. The nitrate(</w:t>
      </w:r>
      <w:r w:rsidRPr="006C7677">
        <w:rPr>
          <w:i w:val="0"/>
          <w:iCs w:val="0"/>
          <w:smallCaps/>
          <w:color w:val="auto"/>
          <w:sz w:val="22"/>
          <w:szCs w:val="22"/>
          <w:lang w:eastAsia="en-GB"/>
        </w:rPr>
        <w:t>III</w:t>
      </w:r>
      <w:r w:rsidRPr="00641404">
        <w:rPr>
          <w:i w:val="0"/>
          <w:iCs w:val="0"/>
          <w:color w:val="auto"/>
          <w:sz w:val="22"/>
          <w:szCs w:val="22"/>
          <w:lang w:eastAsia="en-GB"/>
        </w:rPr>
        <w:t>) ions react in solution with ammonium ions to form nitrogen (see equation below). Initially, this gas dissolves in the solvent but the solubility of nitrogen in water is very low – 0.0019 g/100 g water at 1 atm, so ≈100 times less soluble than carbon dioxide.</w:t>
      </w:r>
    </w:p>
    <w:p w14:paraId="4479E26F" w14:textId="23848F84" w:rsidR="00641404" w:rsidRPr="00641404" w:rsidRDefault="00641404" w:rsidP="00641404">
      <w:pPr>
        <w:pStyle w:val="RSCH4"/>
        <w:jc w:val="center"/>
        <w:rPr>
          <w:i w:val="0"/>
          <w:iCs w:val="0"/>
          <w:color w:val="auto"/>
          <w:sz w:val="22"/>
          <w:szCs w:val="22"/>
          <w:lang w:eastAsia="en-GB"/>
        </w:rPr>
      </w:pPr>
      <w:r w:rsidRPr="00641404">
        <w:rPr>
          <w:i w:val="0"/>
          <w:iCs w:val="0"/>
          <w:color w:val="auto"/>
          <w:sz w:val="22"/>
          <w:szCs w:val="22"/>
          <w:lang w:eastAsia="en-GB"/>
        </w:rPr>
        <w:t>NH</w:t>
      </w:r>
      <w:r w:rsidRPr="006C7677">
        <w:rPr>
          <w:i w:val="0"/>
          <w:iCs w:val="0"/>
          <w:color w:val="auto"/>
          <w:sz w:val="22"/>
          <w:szCs w:val="22"/>
          <w:vertAlign w:val="subscript"/>
          <w:lang w:eastAsia="en-GB"/>
        </w:rPr>
        <w:t>4</w:t>
      </w:r>
      <w:r w:rsidRPr="006C7677">
        <w:rPr>
          <w:i w:val="0"/>
          <w:iCs w:val="0"/>
          <w:color w:val="auto"/>
          <w:sz w:val="22"/>
          <w:szCs w:val="22"/>
          <w:vertAlign w:val="superscript"/>
          <w:lang w:eastAsia="en-GB"/>
        </w:rPr>
        <w:t>+</w:t>
      </w:r>
      <w:r w:rsidRPr="00641404">
        <w:rPr>
          <w:i w:val="0"/>
          <w:iCs w:val="0"/>
          <w:color w:val="auto"/>
          <w:sz w:val="22"/>
          <w:szCs w:val="22"/>
          <w:lang w:eastAsia="en-GB"/>
        </w:rPr>
        <w:t xml:space="preserve"> </w:t>
      </w:r>
      <w:r w:rsidRPr="00810F67">
        <w:rPr>
          <w:i w:val="0"/>
          <w:iCs w:val="0"/>
          <w:color w:val="auto"/>
          <w:sz w:val="22"/>
          <w:szCs w:val="22"/>
          <w:vertAlign w:val="subscript"/>
          <w:lang w:eastAsia="en-GB"/>
        </w:rPr>
        <w:t xml:space="preserve">(aq) </w:t>
      </w:r>
      <w:r w:rsidRPr="00641404">
        <w:rPr>
          <w:i w:val="0"/>
          <w:iCs w:val="0"/>
          <w:color w:val="auto"/>
          <w:sz w:val="22"/>
          <w:szCs w:val="22"/>
          <w:lang w:eastAsia="en-GB"/>
        </w:rPr>
        <w:t>+ NO</w:t>
      </w:r>
      <w:r w:rsidRPr="006C7677">
        <w:rPr>
          <w:i w:val="0"/>
          <w:iCs w:val="0"/>
          <w:color w:val="auto"/>
          <w:sz w:val="22"/>
          <w:szCs w:val="22"/>
          <w:vertAlign w:val="subscript"/>
          <w:lang w:eastAsia="en-GB"/>
        </w:rPr>
        <w:t>2</w:t>
      </w:r>
      <w:r w:rsidR="00532EF7">
        <w:rPr>
          <w:i w:val="0"/>
          <w:iCs w:val="0"/>
          <w:color w:val="auto"/>
          <w:sz w:val="22"/>
          <w:szCs w:val="22"/>
          <w:vertAlign w:val="superscript"/>
          <w:lang w:eastAsia="en-GB"/>
        </w:rPr>
        <w:t>-</w:t>
      </w:r>
      <w:r w:rsidRPr="00641404">
        <w:rPr>
          <w:i w:val="0"/>
          <w:iCs w:val="0"/>
          <w:color w:val="auto"/>
          <w:sz w:val="22"/>
          <w:szCs w:val="22"/>
          <w:lang w:eastAsia="en-GB"/>
        </w:rPr>
        <w:t xml:space="preserve"> </w:t>
      </w:r>
      <w:r w:rsidRPr="00810F67">
        <w:rPr>
          <w:i w:val="0"/>
          <w:iCs w:val="0"/>
          <w:color w:val="auto"/>
          <w:sz w:val="22"/>
          <w:szCs w:val="22"/>
          <w:vertAlign w:val="subscript"/>
          <w:lang w:eastAsia="en-GB"/>
        </w:rPr>
        <w:t>(aq)</w:t>
      </w:r>
      <w:r w:rsidRPr="00641404">
        <w:rPr>
          <w:i w:val="0"/>
          <w:iCs w:val="0"/>
          <w:color w:val="auto"/>
          <w:sz w:val="22"/>
          <w:szCs w:val="22"/>
          <w:lang w:eastAsia="en-GB"/>
        </w:rPr>
        <w:t xml:space="preserve"> → N</w:t>
      </w:r>
      <w:r w:rsidRPr="006C7677">
        <w:rPr>
          <w:i w:val="0"/>
          <w:iCs w:val="0"/>
          <w:color w:val="auto"/>
          <w:sz w:val="22"/>
          <w:szCs w:val="22"/>
          <w:vertAlign w:val="subscript"/>
          <w:lang w:eastAsia="en-GB"/>
        </w:rPr>
        <w:t>2</w:t>
      </w:r>
      <w:r w:rsidRPr="00641404">
        <w:rPr>
          <w:i w:val="0"/>
          <w:iCs w:val="0"/>
          <w:color w:val="auto"/>
          <w:sz w:val="22"/>
          <w:szCs w:val="22"/>
          <w:lang w:eastAsia="en-GB"/>
        </w:rPr>
        <w:t xml:space="preserve"> </w:t>
      </w:r>
      <w:r w:rsidRPr="00810F67">
        <w:rPr>
          <w:i w:val="0"/>
          <w:iCs w:val="0"/>
          <w:color w:val="auto"/>
          <w:sz w:val="22"/>
          <w:szCs w:val="22"/>
          <w:vertAlign w:val="subscript"/>
          <w:lang w:eastAsia="en-GB"/>
        </w:rPr>
        <w:t>(g)</w:t>
      </w:r>
      <w:r w:rsidRPr="00641404">
        <w:rPr>
          <w:i w:val="0"/>
          <w:iCs w:val="0"/>
          <w:color w:val="auto"/>
          <w:sz w:val="22"/>
          <w:szCs w:val="22"/>
          <w:lang w:eastAsia="en-GB"/>
        </w:rPr>
        <w:t xml:space="preserve"> + 2H</w:t>
      </w:r>
      <w:r w:rsidRPr="006C7677">
        <w:rPr>
          <w:i w:val="0"/>
          <w:iCs w:val="0"/>
          <w:color w:val="auto"/>
          <w:sz w:val="22"/>
          <w:szCs w:val="22"/>
          <w:vertAlign w:val="subscript"/>
          <w:lang w:eastAsia="en-GB"/>
        </w:rPr>
        <w:t>2</w:t>
      </w:r>
      <w:r w:rsidRPr="00641404">
        <w:rPr>
          <w:i w:val="0"/>
          <w:iCs w:val="0"/>
          <w:color w:val="auto"/>
          <w:sz w:val="22"/>
          <w:szCs w:val="22"/>
          <w:lang w:eastAsia="en-GB"/>
        </w:rPr>
        <w:t xml:space="preserve">O </w:t>
      </w:r>
      <w:r w:rsidRPr="00810F67">
        <w:rPr>
          <w:i w:val="0"/>
          <w:iCs w:val="0"/>
          <w:color w:val="auto"/>
          <w:sz w:val="22"/>
          <w:szCs w:val="22"/>
          <w:vertAlign w:val="subscript"/>
          <w:lang w:eastAsia="en-GB"/>
        </w:rPr>
        <w:t>(l)</w:t>
      </w:r>
    </w:p>
    <w:p w14:paraId="344D28F4" w14:textId="0723BD61" w:rsidR="00641404" w:rsidRPr="00641404" w:rsidRDefault="00641404" w:rsidP="00641404">
      <w:pPr>
        <w:pStyle w:val="RSCH4"/>
        <w:rPr>
          <w:i w:val="0"/>
          <w:iCs w:val="0"/>
          <w:color w:val="auto"/>
          <w:sz w:val="22"/>
          <w:szCs w:val="22"/>
          <w:lang w:eastAsia="en-GB"/>
        </w:rPr>
      </w:pPr>
      <w:r w:rsidRPr="00641404">
        <w:rPr>
          <w:i w:val="0"/>
          <w:iCs w:val="0"/>
          <w:color w:val="auto"/>
          <w:sz w:val="22"/>
          <w:szCs w:val="22"/>
          <w:lang w:eastAsia="en-GB"/>
        </w:rPr>
        <w:t>The nitrogen could diffuse to the surface and escape, but typical small molecule diffusion speeds in water are slow (≈millimetres per minute) and the reaction produces gas quickly. So, for the gas to escape, a bubble needs to form. Without seeding, a bubble needs to nucleate from random fluctuations in the solution.</w:t>
      </w:r>
    </w:p>
    <w:p w14:paraId="313E869B" w14:textId="77AC13EA" w:rsidR="00641404" w:rsidRPr="00641404" w:rsidRDefault="00641404" w:rsidP="00641404">
      <w:pPr>
        <w:pStyle w:val="RSCH4"/>
        <w:rPr>
          <w:i w:val="0"/>
          <w:iCs w:val="0"/>
          <w:color w:val="auto"/>
          <w:sz w:val="22"/>
          <w:szCs w:val="22"/>
          <w:lang w:eastAsia="en-GB"/>
        </w:rPr>
      </w:pPr>
      <w:r w:rsidRPr="00641404">
        <w:rPr>
          <w:i w:val="0"/>
          <w:iCs w:val="0"/>
          <w:color w:val="auto"/>
          <w:sz w:val="22"/>
          <w:szCs w:val="22"/>
          <w:lang w:eastAsia="en-GB"/>
        </w:rPr>
        <w:t>Essentially, although gas evolution is predicted from a thermodynamic perspective, there is a kinetic barrier. So, the dissolved gas supersaturates to concentrations 80 times the predicted solubility at 1 atm. At this point, there is a good chance that a randomly appearing nucleation site will be filled with gas quickly enough to reach the critical size needed to survive and grow. The concentration-dependence of this threshold has been shown to be so strong that, at the threshold of supersaturation, a 0.1% change in the concentration of the dissolved nitrogen will lead to a 10</w:t>
      </w:r>
      <w:r w:rsidRPr="00004E48">
        <w:rPr>
          <w:i w:val="0"/>
          <w:iCs w:val="0"/>
          <w:color w:val="auto"/>
          <w:sz w:val="22"/>
          <w:szCs w:val="22"/>
          <w:vertAlign w:val="superscript"/>
          <w:lang w:eastAsia="en-GB"/>
        </w:rPr>
        <w:t>15</w:t>
      </w:r>
      <w:r w:rsidRPr="00641404">
        <w:rPr>
          <w:i w:val="0"/>
          <w:iCs w:val="0"/>
          <w:color w:val="auto"/>
          <w:sz w:val="22"/>
          <w:szCs w:val="22"/>
          <w:lang w:eastAsia="en-GB"/>
        </w:rPr>
        <w:t>-fold increase in the rate of bubble formation – unusually for a kinetic effect here, the temperature has less of an impact than concentration! This is helpful because the reaction is strongly exothermic. Although frothing peaks between 2 and 4 minutes, the temperature rise does not slow until &gt;4 minutes, peaking at ≈70°C, after 9 minutes.</w:t>
      </w:r>
    </w:p>
    <w:p w14:paraId="1E7025E3" w14:textId="1F84EC86" w:rsidR="00641404" w:rsidRPr="00641404" w:rsidRDefault="00641404" w:rsidP="00641404">
      <w:pPr>
        <w:pStyle w:val="RSCH4"/>
        <w:rPr>
          <w:i w:val="0"/>
          <w:iCs w:val="0"/>
          <w:color w:val="auto"/>
          <w:sz w:val="22"/>
          <w:szCs w:val="22"/>
          <w:lang w:eastAsia="en-GB"/>
        </w:rPr>
      </w:pPr>
      <w:r w:rsidRPr="00641404">
        <w:rPr>
          <w:i w:val="0"/>
          <w:iCs w:val="0"/>
          <w:color w:val="auto"/>
          <w:sz w:val="22"/>
          <w:szCs w:val="22"/>
          <w:lang w:eastAsia="en-GB"/>
        </w:rPr>
        <w:lastRenderedPageBreak/>
        <w:t>As the bubbles rapidly nucleate, the surrounding supersaturated liquid now has an increased surface area the dissolved gas can evaporate across. Bubbles continue to grow until they can escape to the surface (although they may stop increasing in size if the concentration of the dissolved gases drops sufficiently). With such an explosion of bubbles, the dissolved gas is rapidly exhausted and the foaming decreases. Yet, nitrogen continues to be produced, which leads to the next supersaturation event ≈10 seconds later.</w:t>
      </w:r>
    </w:p>
    <w:p w14:paraId="59EE4008" w14:textId="77777777" w:rsidR="00641404" w:rsidRDefault="00641404" w:rsidP="00641404">
      <w:pPr>
        <w:pStyle w:val="RSCH4"/>
        <w:rPr>
          <w:i w:val="0"/>
          <w:iCs w:val="0"/>
          <w:color w:val="auto"/>
          <w:sz w:val="22"/>
          <w:szCs w:val="22"/>
          <w:lang w:eastAsia="en-GB"/>
        </w:rPr>
      </w:pPr>
      <w:r w:rsidRPr="00641404">
        <w:rPr>
          <w:i w:val="0"/>
          <w:iCs w:val="0"/>
          <w:color w:val="auto"/>
          <w:sz w:val="22"/>
          <w:szCs w:val="22"/>
          <w:lang w:eastAsia="en-GB"/>
        </w:rPr>
        <w:t>This phenomenon explains frothing when you pour a fizzy drink, and the different tones and volumes associated with a boiling kettle.</w:t>
      </w:r>
    </w:p>
    <w:bookmarkEnd w:id="0"/>
    <w:p w14:paraId="41EE0A3D" w14:textId="230D2AA9" w:rsidR="000C2F88" w:rsidRDefault="00B668D7" w:rsidP="000C2F88">
      <w:pPr>
        <w:pStyle w:val="RSCH2"/>
        <w:rPr>
          <w:color w:val="8E1055"/>
          <w:lang w:eastAsia="en-GB"/>
        </w:rPr>
      </w:pPr>
      <w:r>
        <w:rPr>
          <w:color w:val="8E1055"/>
          <w:lang w:eastAsia="en-GB"/>
        </w:rPr>
        <w:t>Top tips</w:t>
      </w:r>
    </w:p>
    <w:p w14:paraId="209DF0DB" w14:textId="5BB46F29" w:rsidR="000C2F88" w:rsidRDefault="000C2F88" w:rsidP="000C2F88">
      <w:pPr>
        <w:pStyle w:val="RSCBulletedlist"/>
        <w:numPr>
          <w:ilvl w:val="0"/>
          <w:numId w:val="24"/>
        </w:numPr>
        <w:rPr>
          <w:lang w:eastAsia="en-GB"/>
        </w:rPr>
      </w:pPr>
      <w:r>
        <w:rPr>
          <w:lang w:eastAsia="en-GB"/>
        </w:rPr>
        <w:t>Ensure you use sodium nitrate (</w:t>
      </w:r>
      <w:r w:rsidRPr="0006613E">
        <w:rPr>
          <w:smallCaps/>
          <w:lang w:eastAsia="en-GB"/>
        </w:rPr>
        <w:t>III</w:t>
      </w:r>
      <w:r>
        <w:rPr>
          <w:lang w:eastAsia="en-GB"/>
        </w:rPr>
        <w:t>), not sodium nitrate(</w:t>
      </w:r>
      <w:r w:rsidRPr="0006613E">
        <w:rPr>
          <w:smallCaps/>
          <w:lang w:eastAsia="en-GB"/>
        </w:rPr>
        <w:t>V</w:t>
      </w:r>
      <w:r>
        <w:rPr>
          <w:lang w:eastAsia="en-GB"/>
        </w:rPr>
        <w:t>).</w:t>
      </w:r>
    </w:p>
    <w:p w14:paraId="662DC046" w14:textId="65567EE8" w:rsidR="000C2F88" w:rsidRDefault="000C2F88" w:rsidP="000C2F88">
      <w:pPr>
        <w:pStyle w:val="RSCBulletedlist"/>
        <w:numPr>
          <w:ilvl w:val="0"/>
          <w:numId w:val="24"/>
        </w:numPr>
        <w:rPr>
          <w:lang w:eastAsia="en-GB"/>
        </w:rPr>
      </w:pPr>
      <w:r>
        <w:rPr>
          <w:lang w:eastAsia="en-GB"/>
        </w:rPr>
        <w:t>Tall vessels (like boiling tubes) maximise the frothing effect.</w:t>
      </w:r>
    </w:p>
    <w:p w14:paraId="7F3EC2A4" w14:textId="1AE4BF5D" w:rsidR="00D00AB5" w:rsidRPr="000C2F88" w:rsidRDefault="000C2F88" w:rsidP="009B5939">
      <w:pPr>
        <w:pStyle w:val="RSCBulletedlist"/>
        <w:numPr>
          <w:ilvl w:val="0"/>
          <w:numId w:val="24"/>
        </w:numPr>
        <w:rPr>
          <w:color w:val="70164C"/>
          <w:sz w:val="20"/>
          <w:szCs w:val="20"/>
        </w:rPr>
      </w:pPr>
      <w:r>
        <w:rPr>
          <w:lang w:eastAsia="en-GB"/>
        </w:rPr>
        <w:t xml:space="preserve">Try up-lighting to visualise the bubbles better. </w:t>
      </w:r>
    </w:p>
    <w:p w14:paraId="548E219C" w14:textId="46B9026E" w:rsidR="000C2F88" w:rsidRPr="000C2F88" w:rsidRDefault="000C2F88" w:rsidP="009B5939">
      <w:pPr>
        <w:pStyle w:val="RSCBulletedlist"/>
        <w:numPr>
          <w:ilvl w:val="0"/>
          <w:numId w:val="24"/>
        </w:numPr>
        <w:rPr>
          <w:color w:val="70164C"/>
          <w:sz w:val="20"/>
          <w:szCs w:val="20"/>
        </w:rPr>
      </w:pPr>
      <w:r>
        <w:rPr>
          <w:lang w:eastAsia="en-GB"/>
        </w:rPr>
        <w:t>Seeding disrupts the supersaturation effect. The pulsing effect stops with the addition of anti-bumping granules. For this reaction to work, a high degree of supersaturation is crucial, so the boiling tube must be clean. I used a new tube, but a clean, undamaged tube will work too.</w:t>
      </w:r>
    </w:p>
    <w:p w14:paraId="429F1D36" w14:textId="22BE86D1" w:rsidR="000C2F88" w:rsidRPr="000C2F88" w:rsidRDefault="000C2F88" w:rsidP="009B5939">
      <w:pPr>
        <w:pStyle w:val="RSCBulletedlist"/>
        <w:numPr>
          <w:ilvl w:val="0"/>
          <w:numId w:val="24"/>
        </w:numPr>
        <w:rPr>
          <w:color w:val="70164C"/>
          <w:sz w:val="20"/>
          <w:szCs w:val="20"/>
        </w:rPr>
      </w:pPr>
      <w:r>
        <w:rPr>
          <w:lang w:eastAsia="en-GB"/>
        </w:rPr>
        <w:t xml:space="preserve">Direct students to focus on the bulk solution. A visualiser can help. Students may notice some bubbles clinging to the side of the tube and ask why these don’t relieve the supersaturation: the answer lies in the short distance (≈0.1 mm) a dissolved gas molecule could diffuse in the time between the 10-second pulses, which leaves these bubbles essentially divorced from the solution in the centre of the tube. </w:t>
      </w:r>
    </w:p>
    <w:sectPr w:rsidR="000C2F88" w:rsidRPr="000C2F88"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0537" w14:textId="77777777" w:rsidR="00227F5F" w:rsidRDefault="00227F5F" w:rsidP="008A1B0B">
      <w:pPr>
        <w:spacing w:after="0" w:line="240" w:lineRule="auto"/>
      </w:pPr>
      <w:r>
        <w:separator/>
      </w:r>
    </w:p>
  </w:endnote>
  <w:endnote w:type="continuationSeparator" w:id="0">
    <w:p w14:paraId="51104139" w14:textId="77777777" w:rsidR="00227F5F" w:rsidRDefault="00227F5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3DB8" w14:textId="77777777" w:rsidR="00227F5F" w:rsidRDefault="00227F5F" w:rsidP="008A1B0B">
      <w:pPr>
        <w:spacing w:after="0" w:line="240" w:lineRule="auto"/>
      </w:pPr>
      <w:r>
        <w:separator/>
      </w:r>
    </w:p>
  </w:footnote>
  <w:footnote w:type="continuationSeparator" w:id="0">
    <w:p w14:paraId="14EC91C1" w14:textId="77777777" w:rsidR="00227F5F" w:rsidRDefault="00227F5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A2987EE"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E</w:t>
    </w:r>
    <w:r>
      <w:rPr>
        <w:rFonts w:ascii="Century Gothic" w:hAnsi="Century Gothic"/>
        <w:b/>
        <w:bCs/>
        <w:color w:val="991E66"/>
        <w:sz w:val="30"/>
        <w:szCs w:val="30"/>
      </w:rPr>
      <w:t>xhibition</w:t>
    </w:r>
    <w:r w:rsidR="00DF7826">
      <w:rPr>
        <w:rFonts w:ascii="Century Gothic" w:hAnsi="Century Gothic"/>
        <w:b/>
        <w:bCs/>
        <w:color w:val="991E66"/>
        <w:sz w:val="30"/>
        <w:szCs w:val="30"/>
      </w:rPr>
      <w:t xml:space="preserve"> Chemistry</w:t>
    </w:r>
    <w:r w:rsidR="00557BF2" w:rsidRPr="00DF7826">
      <w:rPr>
        <w:rFonts w:ascii="Century Gothic" w:hAnsi="Century Gothic"/>
        <w:b/>
        <w:bCs/>
        <w:color w:val="FF0000"/>
        <w:sz w:val="24"/>
        <w:szCs w:val="24"/>
      </w:rPr>
      <w:t xml:space="preserve"> </w:t>
    </w:r>
  </w:p>
  <w:p w14:paraId="014B122C" w14:textId="4D8DA400"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0C2F88" w:rsidRPr="00576C49">
        <w:rPr>
          <w:rStyle w:val="Hyperlink"/>
          <w:rFonts w:ascii="Century Gothic" w:hAnsi="Century Gothic"/>
          <w:b/>
          <w:bCs/>
          <w:sz w:val="18"/>
          <w:szCs w:val="18"/>
        </w:rPr>
        <w:t>https://rsc.li/</w:t>
      </w:r>
    </w:hyperlink>
    <w:r w:rsidR="003A1939">
      <w:rPr>
        <w:rStyle w:val="Hyperlink"/>
        <w:rFonts w:ascii="Century Gothic" w:hAnsi="Century Gothic"/>
        <w:b/>
        <w:bCs/>
        <w:sz w:val="18"/>
        <w:szCs w:val="18"/>
      </w:rPr>
      <w:t>42AC21P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19"/>
  </w:num>
  <w:num w:numId="2" w16cid:durableId="46608390">
    <w:abstractNumId w:val="10"/>
  </w:num>
  <w:num w:numId="3" w16cid:durableId="767046158">
    <w:abstractNumId w:val="5"/>
  </w:num>
  <w:num w:numId="4" w16cid:durableId="1754862014">
    <w:abstractNumId w:val="8"/>
  </w:num>
  <w:num w:numId="5" w16cid:durableId="522865220">
    <w:abstractNumId w:val="16"/>
  </w:num>
  <w:num w:numId="6" w16cid:durableId="1092093063">
    <w:abstractNumId w:val="18"/>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5"/>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7"/>
  </w:num>
  <w:num w:numId="21" w16cid:durableId="1368411444">
    <w:abstractNumId w:val="1"/>
  </w:num>
  <w:num w:numId="22" w16cid:durableId="1597057039">
    <w:abstractNumId w:val="14"/>
  </w:num>
  <w:num w:numId="23" w16cid:durableId="1359821052">
    <w:abstractNumId w:val="12"/>
  </w:num>
  <w:num w:numId="24" w16cid:durableId="1433546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E48"/>
    <w:rsid w:val="00022B65"/>
    <w:rsid w:val="00046615"/>
    <w:rsid w:val="0005730B"/>
    <w:rsid w:val="0006613E"/>
    <w:rsid w:val="000878DA"/>
    <w:rsid w:val="00087C7B"/>
    <w:rsid w:val="00090121"/>
    <w:rsid w:val="0009292F"/>
    <w:rsid w:val="000B0210"/>
    <w:rsid w:val="000B0FE6"/>
    <w:rsid w:val="000C2F88"/>
    <w:rsid w:val="000E6E48"/>
    <w:rsid w:val="000F43E1"/>
    <w:rsid w:val="00104CB2"/>
    <w:rsid w:val="00113E78"/>
    <w:rsid w:val="00146FCD"/>
    <w:rsid w:val="00147637"/>
    <w:rsid w:val="00170732"/>
    <w:rsid w:val="00180C62"/>
    <w:rsid w:val="001A278F"/>
    <w:rsid w:val="001D1067"/>
    <w:rsid w:val="00216FB7"/>
    <w:rsid w:val="00227F5F"/>
    <w:rsid w:val="002304A7"/>
    <w:rsid w:val="00231C1C"/>
    <w:rsid w:val="002549BE"/>
    <w:rsid w:val="00255470"/>
    <w:rsid w:val="00295A49"/>
    <w:rsid w:val="002A3C79"/>
    <w:rsid w:val="002B06C9"/>
    <w:rsid w:val="002C2223"/>
    <w:rsid w:val="002D34BA"/>
    <w:rsid w:val="002E47CA"/>
    <w:rsid w:val="002F2A90"/>
    <w:rsid w:val="002F35A3"/>
    <w:rsid w:val="00304A03"/>
    <w:rsid w:val="003059AB"/>
    <w:rsid w:val="003066BC"/>
    <w:rsid w:val="00307510"/>
    <w:rsid w:val="00344109"/>
    <w:rsid w:val="00351138"/>
    <w:rsid w:val="00362CD9"/>
    <w:rsid w:val="003716B9"/>
    <w:rsid w:val="00383A44"/>
    <w:rsid w:val="003A1939"/>
    <w:rsid w:val="003B7300"/>
    <w:rsid w:val="003C643A"/>
    <w:rsid w:val="003D6657"/>
    <w:rsid w:val="00414DC8"/>
    <w:rsid w:val="0044650F"/>
    <w:rsid w:val="00446F05"/>
    <w:rsid w:val="0046389A"/>
    <w:rsid w:val="00485CEA"/>
    <w:rsid w:val="00512B6D"/>
    <w:rsid w:val="00516F80"/>
    <w:rsid w:val="0052289F"/>
    <w:rsid w:val="00532EF7"/>
    <w:rsid w:val="00557BF2"/>
    <w:rsid w:val="00585938"/>
    <w:rsid w:val="005A5001"/>
    <w:rsid w:val="005B4AFE"/>
    <w:rsid w:val="005F286E"/>
    <w:rsid w:val="006019C6"/>
    <w:rsid w:val="00623DCE"/>
    <w:rsid w:val="00641404"/>
    <w:rsid w:val="006820BE"/>
    <w:rsid w:val="006C7677"/>
    <w:rsid w:val="006D790E"/>
    <w:rsid w:val="006E13FB"/>
    <w:rsid w:val="006E1B8E"/>
    <w:rsid w:val="007042E5"/>
    <w:rsid w:val="007266E2"/>
    <w:rsid w:val="00747E9A"/>
    <w:rsid w:val="00747FE6"/>
    <w:rsid w:val="0077600A"/>
    <w:rsid w:val="007A08F5"/>
    <w:rsid w:val="007A66FB"/>
    <w:rsid w:val="007B56F2"/>
    <w:rsid w:val="00803338"/>
    <w:rsid w:val="00810F67"/>
    <w:rsid w:val="0081721A"/>
    <w:rsid w:val="00835B9C"/>
    <w:rsid w:val="0084473E"/>
    <w:rsid w:val="00862463"/>
    <w:rsid w:val="00866EB2"/>
    <w:rsid w:val="0089187A"/>
    <w:rsid w:val="00893B8E"/>
    <w:rsid w:val="00893F3D"/>
    <w:rsid w:val="008A087E"/>
    <w:rsid w:val="008A1B0B"/>
    <w:rsid w:val="008B34F9"/>
    <w:rsid w:val="008B54F1"/>
    <w:rsid w:val="008D7A53"/>
    <w:rsid w:val="00905E09"/>
    <w:rsid w:val="009272D0"/>
    <w:rsid w:val="00942047"/>
    <w:rsid w:val="0095508F"/>
    <w:rsid w:val="00971D51"/>
    <w:rsid w:val="00A13442"/>
    <w:rsid w:val="00A5348B"/>
    <w:rsid w:val="00A571EB"/>
    <w:rsid w:val="00A5740C"/>
    <w:rsid w:val="00A725C3"/>
    <w:rsid w:val="00AA2485"/>
    <w:rsid w:val="00AA64F9"/>
    <w:rsid w:val="00AF6776"/>
    <w:rsid w:val="00B226A7"/>
    <w:rsid w:val="00B30A6E"/>
    <w:rsid w:val="00B668D7"/>
    <w:rsid w:val="00B67A03"/>
    <w:rsid w:val="00B71E66"/>
    <w:rsid w:val="00BA3729"/>
    <w:rsid w:val="00C05C66"/>
    <w:rsid w:val="00C1703F"/>
    <w:rsid w:val="00C43346"/>
    <w:rsid w:val="00C60CC7"/>
    <w:rsid w:val="00CD3159"/>
    <w:rsid w:val="00CD3907"/>
    <w:rsid w:val="00CD5E3C"/>
    <w:rsid w:val="00CF6E3E"/>
    <w:rsid w:val="00D00AB5"/>
    <w:rsid w:val="00D17CC0"/>
    <w:rsid w:val="00D45D99"/>
    <w:rsid w:val="00D60D30"/>
    <w:rsid w:val="00DA0F02"/>
    <w:rsid w:val="00DC0D9C"/>
    <w:rsid w:val="00DD432E"/>
    <w:rsid w:val="00DF7826"/>
    <w:rsid w:val="00E95DE4"/>
    <w:rsid w:val="00EC7EFF"/>
    <w:rsid w:val="00F073CD"/>
    <w:rsid w:val="00F74583"/>
    <w:rsid w:val="00F80ECB"/>
    <w:rsid w:val="00F96FDA"/>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305625483">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2AC21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890</Words>
  <Characters>4594</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Let's get fizzical technician notes</vt:lpstr>
    </vt:vector>
  </TitlesOfParts>
  <Manager/>
  <Company>Royal Society Of Chemistry</Company>
  <LinksUpToDate>false</LinksUpToDate>
  <CharactersWithSpaces>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get fizzical technician notes</dc:title>
  <dc:subject/>
  <dc:creator>Royal Society Of Chemistry</dc:creator>
  <cp:keywords>surface tension, kinetic, thermodynamic, pressure, solubility, nitrogen gas, fizzing</cp:keywords>
  <dc:description>From the Let's get fizzical demonstration, available at https://rsc.li/42AC21P</dc:description>
  <cp:lastModifiedBy>Anastasia Marsh</cp:lastModifiedBy>
  <cp:revision>3</cp:revision>
  <dcterms:created xsi:type="dcterms:W3CDTF">2023-06-05T08:33:00Z</dcterms:created>
  <dcterms:modified xsi:type="dcterms:W3CDTF">2023-06-05T09:16:00Z</dcterms:modified>
  <cp:category/>
</cp:coreProperties>
</file>