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45F83016" w:rsidR="005F286E" w:rsidRPr="003B7300" w:rsidRDefault="003C113A" w:rsidP="00CF6E3E">
      <w:pPr>
        <w:pStyle w:val="RSCH1"/>
        <w:rPr>
          <w:color w:val="991E66"/>
        </w:rPr>
      </w:pPr>
      <w:r>
        <w:rPr>
          <w:color w:val="991E66"/>
        </w:rPr>
        <w:t>Self-pouring polymer</w:t>
      </w:r>
    </w:p>
    <w:p w14:paraId="665E0536" w14:textId="27F0A518" w:rsidR="001A278F" w:rsidRPr="000878DA" w:rsidRDefault="00905E09" w:rsidP="000878DA">
      <w:pPr>
        <w:shd w:val="clear" w:color="auto" w:fill="FFFFFF"/>
        <w:jc w:val="left"/>
        <w:rPr>
          <w:rStyle w:val="Hyperlink"/>
          <w:rFonts w:ascii="Century Gothic" w:eastAsia="Calibri" w:hAnsi="Century Gothic" w:cs="Calibri"/>
          <w:b/>
          <w:color w:val="222222"/>
          <w:sz w:val="22"/>
          <w:szCs w:val="22"/>
          <w:u w:val="none"/>
          <w:lang w:eastAsia="en-GB"/>
        </w:rPr>
      </w:pPr>
      <w:bookmarkStart w:id="0" w:name="_Hlk133917238"/>
      <w:r w:rsidRPr="000878DA">
        <w:rPr>
          <w:rFonts w:ascii="Century Gothic" w:hAnsi="Century Gothic"/>
          <w:sz w:val="22"/>
          <w:szCs w:val="22"/>
          <w:lang w:eastAsia="en-GB"/>
        </w:rPr>
        <w:t>Th</w:t>
      </w:r>
      <w:r w:rsidR="00104CB2">
        <w:rPr>
          <w:rFonts w:ascii="Century Gothic" w:hAnsi="Century Gothic"/>
          <w:sz w:val="22"/>
          <w:szCs w:val="22"/>
          <w:lang w:eastAsia="en-GB"/>
        </w:rPr>
        <w:t>ese notes</w:t>
      </w:r>
      <w:r w:rsidRPr="000878DA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="00104CB2">
        <w:rPr>
          <w:rFonts w:ascii="Century Gothic" w:hAnsi="Century Gothic"/>
          <w:sz w:val="22"/>
          <w:szCs w:val="22"/>
          <w:lang w:eastAsia="en-GB"/>
        </w:rPr>
        <w:t>accompany</w:t>
      </w:r>
      <w:r w:rsidR="001A278F" w:rsidRPr="000878DA">
        <w:rPr>
          <w:rFonts w:ascii="Century Gothic" w:hAnsi="Century Gothic"/>
          <w:sz w:val="22"/>
          <w:szCs w:val="22"/>
          <w:lang w:eastAsia="en-GB"/>
        </w:rPr>
        <w:t xml:space="preserve"> the </w:t>
      </w:r>
      <w:r w:rsidR="00104CB2">
        <w:rPr>
          <w:rFonts w:ascii="Century Gothic" w:hAnsi="Century Gothic"/>
          <w:sz w:val="22"/>
          <w:szCs w:val="22"/>
          <w:lang w:eastAsia="en-GB"/>
        </w:rPr>
        <w:t>video demonstration</w:t>
      </w:r>
      <w:r w:rsidR="001A278F" w:rsidRPr="000878DA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="003C113A" w:rsidRPr="003C113A">
        <w:rPr>
          <w:rFonts w:ascii="Century Gothic" w:eastAsia="Calibri" w:hAnsi="Century Gothic" w:cs="Calibri"/>
          <w:b/>
          <w:color w:val="222222"/>
          <w:sz w:val="22"/>
          <w:szCs w:val="22"/>
        </w:rPr>
        <w:t>Illustrate polymer properties with a self-siphoning solution</w:t>
      </w:r>
      <w:r w:rsidR="00104CB2">
        <w:rPr>
          <w:rFonts w:ascii="Century Gothic" w:eastAsia="Calibri" w:hAnsi="Century Gothic" w:cs="Calibri"/>
          <w:b/>
          <w:color w:val="222222"/>
          <w:sz w:val="22"/>
          <w:szCs w:val="22"/>
        </w:rPr>
        <w:t xml:space="preserve"> </w:t>
      </w:r>
      <w:r w:rsidR="00B63F7E">
        <w:rPr>
          <w:rFonts w:ascii="Century Gothic" w:hAnsi="Century Gothic"/>
          <w:sz w:val="22"/>
          <w:szCs w:val="22"/>
          <w:lang w:eastAsia="en-GB"/>
        </w:rPr>
        <w:t>from</w:t>
      </w:r>
      <w:r w:rsidR="00B63F7E" w:rsidRPr="000878DA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="00B63F7E" w:rsidRPr="000878DA">
        <w:rPr>
          <w:rFonts w:ascii="Century Gothic" w:hAnsi="Century Gothic"/>
          <w:i/>
          <w:iCs/>
          <w:sz w:val="22"/>
          <w:szCs w:val="22"/>
          <w:lang w:eastAsia="en-GB"/>
        </w:rPr>
        <w:t>Education in Chemistry</w:t>
      </w:r>
      <w:r w:rsidR="003C113A" w:rsidRPr="003C113A">
        <w:rPr>
          <w:rFonts w:ascii="Century Gothic" w:hAnsi="Century Gothic"/>
          <w:sz w:val="22"/>
          <w:szCs w:val="22"/>
          <w:lang w:eastAsia="en-GB"/>
        </w:rPr>
        <w:t>,</w:t>
      </w:r>
      <w:r w:rsidR="00B63F7E" w:rsidRPr="003C113A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="001A278F" w:rsidRPr="000878DA">
        <w:rPr>
          <w:rFonts w:ascii="Century Gothic" w:hAnsi="Century Gothic"/>
          <w:sz w:val="22"/>
          <w:szCs w:val="22"/>
          <w:lang w:eastAsia="en-GB"/>
        </w:rPr>
        <w:t xml:space="preserve">which </w:t>
      </w:r>
      <w:r w:rsidR="00B63F7E">
        <w:rPr>
          <w:rFonts w:ascii="Century Gothic" w:hAnsi="Century Gothic"/>
          <w:sz w:val="22"/>
          <w:szCs w:val="22"/>
          <w:lang w:eastAsia="en-GB"/>
        </w:rPr>
        <w:t xml:space="preserve">you </w:t>
      </w:r>
      <w:r w:rsidR="001A278F" w:rsidRPr="000878DA">
        <w:rPr>
          <w:rFonts w:ascii="Century Gothic" w:hAnsi="Century Gothic"/>
          <w:sz w:val="22"/>
          <w:szCs w:val="22"/>
          <w:lang w:eastAsia="en-GB"/>
        </w:rPr>
        <w:t xml:space="preserve">can view at: </w:t>
      </w:r>
      <w:hyperlink r:id="rId8" w:history="1">
        <w:r w:rsidR="002D2E8C" w:rsidRPr="002D2E8C">
          <w:rPr>
            <w:rStyle w:val="Hyperlink"/>
            <w:rFonts w:ascii="Century Gothic" w:hAnsi="Century Gothic"/>
            <w:color w:val="8E1055"/>
            <w:sz w:val="22"/>
            <w:szCs w:val="22"/>
            <w:lang w:eastAsia="en-GB"/>
          </w:rPr>
          <w:t>rsc.li/3TaTHKv</w:t>
        </w:r>
      </w:hyperlink>
      <w:r w:rsidR="00D95F88" w:rsidRPr="00D95F88">
        <w:rPr>
          <w:rStyle w:val="Hyperlink"/>
          <w:rFonts w:ascii="Century Gothic" w:hAnsi="Century Gothic"/>
          <w:color w:val="auto"/>
          <w:sz w:val="22"/>
          <w:szCs w:val="22"/>
          <w:u w:val="none"/>
          <w:lang w:eastAsia="en-GB"/>
        </w:rPr>
        <w:t>.</w:t>
      </w:r>
      <w:r w:rsidR="002D2E8C" w:rsidRPr="00D95F88">
        <w:rPr>
          <w:rFonts w:ascii="Century Gothic" w:hAnsi="Century Gothic"/>
          <w:sz w:val="22"/>
          <w:szCs w:val="22"/>
          <w:lang w:eastAsia="en-GB"/>
        </w:rPr>
        <w:t xml:space="preserve"> </w:t>
      </w:r>
    </w:p>
    <w:p w14:paraId="604E7CC8" w14:textId="70685D57" w:rsidR="002D2E8C" w:rsidRDefault="002D2E8C" w:rsidP="00104CB2">
      <w:pPr>
        <w:pStyle w:val="RSCH2"/>
        <w:rPr>
          <w:b w:val="0"/>
          <w:bCs w:val="0"/>
          <w:color w:val="auto"/>
          <w:sz w:val="22"/>
          <w:lang w:eastAsia="en-GB"/>
        </w:rPr>
      </w:pPr>
      <w:r w:rsidRPr="002D2E8C">
        <w:rPr>
          <w:b w:val="0"/>
          <w:bCs w:val="0"/>
          <w:color w:val="auto"/>
          <w:sz w:val="22"/>
          <w:lang w:eastAsia="en-GB"/>
        </w:rPr>
        <w:t xml:space="preserve">Although chemistry textbooks typically depict substances as consisting of particles that are spherical in shape, </w:t>
      </w:r>
      <w:r w:rsidR="00A04349">
        <w:rPr>
          <w:b w:val="0"/>
          <w:bCs w:val="0"/>
          <w:color w:val="auto"/>
          <w:sz w:val="22"/>
          <w:lang w:eastAsia="en-GB"/>
        </w:rPr>
        <w:t xml:space="preserve">the </w:t>
      </w:r>
      <w:r w:rsidRPr="002D2E8C">
        <w:rPr>
          <w:b w:val="0"/>
          <w:bCs w:val="0"/>
          <w:color w:val="auto"/>
          <w:sz w:val="22"/>
          <w:lang w:eastAsia="en-GB"/>
        </w:rPr>
        <w:t xml:space="preserve">reality is somewhat more complicated. From proteins to plastics, </w:t>
      </w:r>
      <w:r>
        <w:rPr>
          <w:b w:val="0"/>
          <w:bCs w:val="0"/>
          <w:color w:val="auto"/>
          <w:sz w:val="22"/>
          <w:lang w:eastAsia="en-GB"/>
        </w:rPr>
        <w:t xml:space="preserve">we can better explain </w:t>
      </w:r>
      <w:r w:rsidRPr="002D2E8C">
        <w:rPr>
          <w:b w:val="0"/>
          <w:bCs w:val="0"/>
          <w:color w:val="auto"/>
          <w:sz w:val="22"/>
          <w:lang w:eastAsia="en-GB"/>
        </w:rPr>
        <w:t xml:space="preserve">the properties of many materials that we encounter every day in terms of particles resembling chains of beads. </w:t>
      </w:r>
      <w:r>
        <w:rPr>
          <w:b w:val="0"/>
          <w:bCs w:val="0"/>
          <w:color w:val="auto"/>
          <w:sz w:val="22"/>
          <w:lang w:eastAsia="en-GB"/>
        </w:rPr>
        <w:t>You can demonstrate this</w:t>
      </w:r>
      <w:r w:rsidRPr="002D2E8C">
        <w:rPr>
          <w:b w:val="0"/>
          <w:bCs w:val="0"/>
          <w:color w:val="auto"/>
          <w:sz w:val="22"/>
          <w:lang w:eastAsia="en-GB"/>
        </w:rPr>
        <w:t xml:space="preserve"> idea </w:t>
      </w:r>
      <w:r>
        <w:rPr>
          <w:b w:val="0"/>
          <w:bCs w:val="0"/>
          <w:color w:val="auto"/>
          <w:sz w:val="22"/>
          <w:lang w:eastAsia="en-GB"/>
        </w:rPr>
        <w:t>with</w:t>
      </w:r>
      <w:r w:rsidRPr="002D2E8C">
        <w:rPr>
          <w:b w:val="0"/>
          <w:bCs w:val="0"/>
          <w:color w:val="auto"/>
          <w:sz w:val="22"/>
          <w:lang w:eastAsia="en-GB"/>
        </w:rPr>
        <w:t xml:space="preserve"> a liquid that behaves in a way that</w:t>
      </w:r>
      <w:r>
        <w:rPr>
          <w:b w:val="0"/>
          <w:bCs w:val="0"/>
          <w:color w:val="auto"/>
          <w:sz w:val="22"/>
          <w:lang w:eastAsia="en-GB"/>
        </w:rPr>
        <w:t xml:space="preserve"> you</w:t>
      </w:r>
      <w:r w:rsidRPr="002D2E8C">
        <w:rPr>
          <w:b w:val="0"/>
          <w:bCs w:val="0"/>
          <w:color w:val="auto"/>
          <w:sz w:val="22"/>
          <w:lang w:eastAsia="en-GB"/>
        </w:rPr>
        <w:t xml:space="preserve"> can only explain by such a model, </w:t>
      </w:r>
      <w:bookmarkStart w:id="1" w:name="_Hlk161837853"/>
      <w:r w:rsidRPr="002D2E8C">
        <w:rPr>
          <w:b w:val="0"/>
          <w:bCs w:val="0"/>
          <w:color w:val="auto"/>
          <w:sz w:val="22"/>
          <w:lang w:eastAsia="en-GB"/>
        </w:rPr>
        <w:t xml:space="preserve">namely in </w:t>
      </w:r>
      <w:r w:rsidR="00247B87">
        <w:rPr>
          <w:b w:val="0"/>
          <w:bCs w:val="0"/>
          <w:color w:val="auto"/>
          <w:sz w:val="22"/>
          <w:lang w:eastAsia="en-GB"/>
        </w:rPr>
        <w:t>how you can</w:t>
      </w:r>
      <w:r w:rsidRPr="002D2E8C">
        <w:rPr>
          <w:b w:val="0"/>
          <w:bCs w:val="0"/>
          <w:color w:val="auto"/>
          <w:sz w:val="22"/>
          <w:lang w:eastAsia="en-GB"/>
        </w:rPr>
        <w:t xml:space="preserve"> cut</w:t>
      </w:r>
      <w:r w:rsidR="00247B87">
        <w:rPr>
          <w:b w:val="0"/>
          <w:bCs w:val="0"/>
          <w:color w:val="auto"/>
          <w:sz w:val="22"/>
          <w:lang w:eastAsia="en-GB"/>
        </w:rPr>
        <w:t xml:space="preserve"> it</w:t>
      </w:r>
      <w:r w:rsidRPr="002D2E8C">
        <w:rPr>
          <w:b w:val="0"/>
          <w:bCs w:val="0"/>
          <w:color w:val="auto"/>
          <w:sz w:val="22"/>
          <w:lang w:eastAsia="en-GB"/>
        </w:rPr>
        <w:t xml:space="preserve">, and </w:t>
      </w:r>
      <w:r w:rsidR="00247B87">
        <w:rPr>
          <w:b w:val="0"/>
          <w:bCs w:val="0"/>
          <w:color w:val="auto"/>
          <w:sz w:val="22"/>
          <w:lang w:eastAsia="en-GB"/>
        </w:rPr>
        <w:t xml:space="preserve">how it </w:t>
      </w:r>
      <w:r w:rsidRPr="002D2E8C">
        <w:rPr>
          <w:b w:val="0"/>
          <w:bCs w:val="0"/>
          <w:color w:val="auto"/>
          <w:sz w:val="22"/>
          <w:lang w:eastAsia="en-GB"/>
        </w:rPr>
        <w:t>siphon</w:t>
      </w:r>
      <w:r w:rsidR="001F0147">
        <w:rPr>
          <w:b w:val="0"/>
          <w:bCs w:val="0"/>
          <w:color w:val="auto"/>
          <w:sz w:val="22"/>
          <w:lang w:eastAsia="en-GB"/>
        </w:rPr>
        <w:t xml:space="preserve">s </w:t>
      </w:r>
      <w:r w:rsidRPr="002D2E8C">
        <w:rPr>
          <w:b w:val="0"/>
          <w:bCs w:val="0"/>
          <w:color w:val="auto"/>
          <w:sz w:val="22"/>
          <w:lang w:eastAsia="en-GB"/>
        </w:rPr>
        <w:t xml:space="preserve">out of a beaker. </w:t>
      </w:r>
      <w:bookmarkEnd w:id="1"/>
    </w:p>
    <w:p w14:paraId="3D4CC486" w14:textId="745447AC" w:rsidR="0009292F" w:rsidRDefault="003979ED" w:rsidP="00104CB2">
      <w:pPr>
        <w:pStyle w:val="RSCH2"/>
        <w:rPr>
          <w:lang w:eastAsia="en-GB"/>
        </w:rPr>
      </w:pPr>
      <w:r>
        <w:rPr>
          <w:lang w:eastAsia="en-GB"/>
        </w:rPr>
        <w:t xml:space="preserve">Curriculum </w:t>
      </w:r>
      <w:r w:rsidRPr="002D2E8C">
        <w:rPr>
          <w:lang w:eastAsia="en-GB"/>
        </w:rPr>
        <w:t>links</w:t>
      </w:r>
    </w:p>
    <w:p w14:paraId="62B00222" w14:textId="37F4DB90" w:rsidR="0009292F" w:rsidRDefault="003979ED" w:rsidP="0009292F">
      <w:pPr>
        <w:pStyle w:val="RSC2-columntabs"/>
        <w:rPr>
          <w:lang w:eastAsia="en-GB"/>
        </w:rPr>
      </w:pPr>
      <w:r>
        <w:rPr>
          <w:lang w:eastAsia="en-GB"/>
        </w:rPr>
        <w:t xml:space="preserve">Use </w:t>
      </w:r>
      <w:r w:rsidRPr="002D2E8C">
        <w:rPr>
          <w:lang w:eastAsia="en-GB"/>
        </w:rPr>
        <w:t>this</w:t>
      </w:r>
      <w:r w:rsidR="00446F05" w:rsidRPr="002D2E8C">
        <w:rPr>
          <w:lang w:eastAsia="en-GB"/>
        </w:rPr>
        <w:t xml:space="preserve"> demonstration </w:t>
      </w:r>
      <w:r w:rsidRPr="002D2E8C">
        <w:rPr>
          <w:lang w:eastAsia="en-GB"/>
        </w:rPr>
        <w:t xml:space="preserve">when teaching </w:t>
      </w:r>
      <w:r w:rsidR="002D2E8C" w:rsidRPr="002D2E8C">
        <w:rPr>
          <w:lang w:eastAsia="en-GB"/>
        </w:rPr>
        <w:t>polymers and their properties</w:t>
      </w:r>
      <w:r w:rsidR="00446F05" w:rsidRPr="002D2E8C">
        <w:rPr>
          <w:lang w:eastAsia="en-GB"/>
        </w:rPr>
        <w:t xml:space="preserve"> </w:t>
      </w:r>
      <w:r w:rsidRPr="002D2E8C">
        <w:rPr>
          <w:lang w:eastAsia="en-GB"/>
        </w:rPr>
        <w:t>to</w:t>
      </w:r>
      <w:r w:rsidR="00446F05" w:rsidRPr="002D2E8C">
        <w:rPr>
          <w:lang w:eastAsia="en-GB"/>
        </w:rPr>
        <w:t xml:space="preserve"> learners</w:t>
      </w:r>
      <w:r w:rsidR="0009292F" w:rsidRPr="002D2E8C">
        <w:rPr>
          <w:lang w:eastAsia="en-GB"/>
        </w:rPr>
        <w:t xml:space="preserve"> aged 1</w:t>
      </w:r>
      <w:r w:rsidR="002D2E8C" w:rsidRPr="002D2E8C">
        <w:rPr>
          <w:lang w:eastAsia="en-GB"/>
        </w:rPr>
        <w:t>1</w:t>
      </w:r>
      <w:r w:rsidR="0009292F" w:rsidRPr="002D2E8C">
        <w:rPr>
          <w:lang w:eastAsia="en-GB"/>
        </w:rPr>
        <w:t>–16</w:t>
      </w:r>
      <w:r w:rsidR="00446F05" w:rsidRPr="002D2E8C">
        <w:rPr>
          <w:lang w:eastAsia="en-GB"/>
        </w:rPr>
        <w:t>.</w:t>
      </w:r>
      <w:r w:rsidR="0009292F" w:rsidRPr="002D2E8C">
        <w:rPr>
          <w:lang w:eastAsia="en-GB"/>
        </w:rPr>
        <w:t xml:space="preserve"> </w:t>
      </w:r>
      <w:r w:rsidR="00B32882" w:rsidRPr="002D2E8C">
        <w:rPr>
          <w:lang w:eastAsia="en-GB"/>
        </w:rPr>
        <w:t xml:space="preserve">You </w:t>
      </w:r>
      <w:r w:rsidR="00446F05" w:rsidRPr="002D2E8C">
        <w:rPr>
          <w:lang w:eastAsia="en-GB"/>
        </w:rPr>
        <w:t xml:space="preserve">could also </w:t>
      </w:r>
      <w:r w:rsidR="00B32882" w:rsidRPr="002D2E8C">
        <w:rPr>
          <w:lang w:eastAsia="en-GB"/>
        </w:rPr>
        <w:t xml:space="preserve">use it </w:t>
      </w:r>
      <w:r w:rsidR="00E63DE2">
        <w:rPr>
          <w:lang w:eastAsia="en-GB"/>
        </w:rPr>
        <w:t xml:space="preserve">when </w:t>
      </w:r>
      <w:r w:rsidR="00446F05" w:rsidRPr="002D2E8C">
        <w:rPr>
          <w:lang w:eastAsia="en-GB"/>
        </w:rPr>
        <w:t xml:space="preserve">teaching </w:t>
      </w:r>
      <w:r w:rsidR="002D2E8C" w:rsidRPr="002D2E8C">
        <w:rPr>
          <w:lang w:eastAsia="en-GB"/>
        </w:rPr>
        <w:t>hydrogen bonding</w:t>
      </w:r>
      <w:r w:rsidR="00446F05" w:rsidRPr="002D2E8C">
        <w:rPr>
          <w:lang w:eastAsia="en-GB"/>
        </w:rPr>
        <w:t xml:space="preserve"> </w:t>
      </w:r>
      <w:r w:rsidR="00485DF1">
        <w:rPr>
          <w:lang w:eastAsia="en-GB"/>
        </w:rPr>
        <w:t>at</w:t>
      </w:r>
      <w:r w:rsidR="00446F05" w:rsidRPr="002D2E8C">
        <w:rPr>
          <w:lang w:eastAsia="en-GB"/>
        </w:rPr>
        <w:t xml:space="preserve"> post-1</w:t>
      </w:r>
      <w:r w:rsidR="00485DF1">
        <w:rPr>
          <w:lang w:eastAsia="en-GB"/>
        </w:rPr>
        <w:t>6</w:t>
      </w:r>
      <w:r w:rsidR="00446F05" w:rsidRPr="002D2E8C">
        <w:rPr>
          <w:lang w:eastAsia="en-GB"/>
        </w:rPr>
        <w:t>.</w:t>
      </w:r>
      <w:r w:rsidR="00446F05">
        <w:rPr>
          <w:lang w:eastAsia="en-GB"/>
        </w:rPr>
        <w:t xml:space="preserve"> </w:t>
      </w:r>
    </w:p>
    <w:p w14:paraId="4449B9EA" w14:textId="40485E2B" w:rsidR="00104CB2" w:rsidRPr="0024145E" w:rsidRDefault="00247B87" w:rsidP="00104CB2">
      <w:pPr>
        <w:pStyle w:val="RSCH2"/>
        <w:rPr>
          <w:lang w:eastAsia="en-GB"/>
        </w:rPr>
      </w:pPr>
      <w:r w:rsidRPr="0024145E">
        <w:rPr>
          <w:lang w:eastAsia="en-GB"/>
        </w:rPr>
        <w:t>Kit</w:t>
      </w:r>
    </w:p>
    <w:p w14:paraId="7AF6D4EC" w14:textId="7CAB8FE3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 xml:space="preserve">4 g high molecular weight </w:t>
      </w:r>
      <w:proofErr w:type="gramStart"/>
      <w:r>
        <w:rPr>
          <w:lang w:eastAsia="en-GB"/>
        </w:rPr>
        <w:t>poly(</w:t>
      </w:r>
      <w:proofErr w:type="gramEnd"/>
      <w:r>
        <w:rPr>
          <w:lang w:eastAsia="en-GB"/>
        </w:rPr>
        <w:t xml:space="preserve">ethylene glycol), PEG, also known as </w:t>
      </w:r>
      <w:proofErr w:type="spellStart"/>
      <w:r>
        <w:rPr>
          <w:lang w:eastAsia="en-GB"/>
        </w:rPr>
        <w:t>polyox</w:t>
      </w:r>
      <w:proofErr w:type="spellEnd"/>
      <w:r>
        <w:rPr>
          <w:lang w:eastAsia="en-GB"/>
        </w:rPr>
        <w:t xml:space="preserve"> (see tips) </w:t>
      </w:r>
    </w:p>
    <w:p w14:paraId="6A536D8C" w14:textId="3BE7D81E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25 cm</w:t>
      </w:r>
      <w:r w:rsidRPr="00247B87">
        <w:rPr>
          <w:vertAlign w:val="superscript"/>
          <w:lang w:eastAsia="en-GB"/>
        </w:rPr>
        <w:t>3</w:t>
      </w:r>
      <w:r>
        <w:rPr>
          <w:lang w:eastAsia="en-GB"/>
        </w:rPr>
        <w:t xml:space="preserve"> propan-2-ol</w:t>
      </w:r>
    </w:p>
    <w:p w14:paraId="1D9E91F7" w14:textId="1D7CB7F2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Stirring rod</w:t>
      </w:r>
    </w:p>
    <w:p w14:paraId="67527F1A" w14:textId="668BDCDD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100 cm</w:t>
      </w:r>
      <w:r w:rsidRPr="00247B87">
        <w:rPr>
          <w:vertAlign w:val="superscript"/>
          <w:lang w:eastAsia="en-GB"/>
        </w:rPr>
        <w:t>3</w:t>
      </w:r>
      <w:r>
        <w:rPr>
          <w:lang w:eastAsia="en-GB"/>
        </w:rPr>
        <w:t xml:space="preserve"> beaker</w:t>
      </w:r>
    </w:p>
    <w:p w14:paraId="62E3087F" w14:textId="77777777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1000 cm</w:t>
      </w:r>
      <w:r w:rsidRPr="00247B87">
        <w:rPr>
          <w:vertAlign w:val="superscript"/>
          <w:lang w:eastAsia="en-GB"/>
        </w:rPr>
        <w:t>3</w:t>
      </w:r>
      <w:r>
        <w:rPr>
          <w:lang w:eastAsia="en-GB"/>
        </w:rPr>
        <w:t xml:space="preserve"> beaker</w:t>
      </w:r>
    </w:p>
    <w:p w14:paraId="3AC9DA3C" w14:textId="79D77F77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2 x 600 cm</w:t>
      </w:r>
      <w:r w:rsidRPr="00247B87">
        <w:rPr>
          <w:vertAlign w:val="superscript"/>
          <w:lang w:eastAsia="en-GB"/>
        </w:rPr>
        <w:t>3</w:t>
      </w:r>
      <w:r>
        <w:rPr>
          <w:lang w:eastAsia="en-GB"/>
        </w:rPr>
        <w:t xml:space="preserve"> beakers</w:t>
      </w:r>
    </w:p>
    <w:p w14:paraId="6CC6116D" w14:textId="77777777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Food dye</w:t>
      </w:r>
    </w:p>
    <w:p w14:paraId="05977671" w14:textId="77777777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>Scissors</w:t>
      </w:r>
    </w:p>
    <w:p w14:paraId="773EED05" w14:textId="083E59C9" w:rsidR="00247B87" w:rsidRDefault="00247B87" w:rsidP="00247B87">
      <w:pPr>
        <w:pStyle w:val="RSCBulletedlist"/>
        <w:numPr>
          <w:ilvl w:val="0"/>
          <w:numId w:val="22"/>
        </w:numPr>
        <w:spacing w:line="256" w:lineRule="auto"/>
        <w:rPr>
          <w:lang w:eastAsia="en-GB"/>
        </w:rPr>
      </w:pPr>
      <w:r>
        <w:rPr>
          <w:lang w:eastAsia="en-GB"/>
        </w:rPr>
        <w:t xml:space="preserve">Clamp and </w:t>
      </w:r>
      <w:proofErr w:type="gramStart"/>
      <w:r>
        <w:rPr>
          <w:lang w:eastAsia="en-GB"/>
        </w:rPr>
        <w:t>stand</w:t>
      </w:r>
      <w:proofErr w:type="gramEnd"/>
    </w:p>
    <w:p w14:paraId="4B7FAE82" w14:textId="08015818" w:rsidR="00104CB2" w:rsidRDefault="002D2E8C" w:rsidP="00104CB2">
      <w:pPr>
        <w:pStyle w:val="RSCH2"/>
        <w:rPr>
          <w:lang w:eastAsia="en-GB"/>
        </w:rPr>
      </w:pPr>
      <w:r>
        <w:rPr>
          <w:lang w:eastAsia="en-GB"/>
        </w:rPr>
        <w:t>Preparation</w:t>
      </w:r>
    </w:p>
    <w:p w14:paraId="4FFA50DC" w14:textId="77777777" w:rsidR="0024145E" w:rsidRDefault="002D2E8C" w:rsidP="0024145E">
      <w:pPr>
        <w:pStyle w:val="RSCnumberedlist"/>
        <w:rPr>
          <w:lang w:eastAsia="en-GB"/>
        </w:rPr>
      </w:pPr>
      <w:r w:rsidRPr="002D2E8C">
        <w:rPr>
          <w:lang w:eastAsia="en-GB"/>
        </w:rPr>
        <w:t>Add 3–4 g of PEG to a 100 cm</w:t>
      </w:r>
      <w:r w:rsidRPr="00205DF9">
        <w:rPr>
          <w:vertAlign w:val="superscript"/>
          <w:lang w:eastAsia="en-GB"/>
        </w:rPr>
        <w:t>3</w:t>
      </w:r>
      <w:r w:rsidRPr="002D2E8C">
        <w:rPr>
          <w:lang w:eastAsia="en-GB"/>
        </w:rPr>
        <w:t xml:space="preserve"> beaker. </w:t>
      </w:r>
    </w:p>
    <w:p w14:paraId="13AC8224" w14:textId="533CC61F" w:rsidR="0024145E" w:rsidRDefault="002D2E8C" w:rsidP="0024145E">
      <w:pPr>
        <w:pStyle w:val="RSCnumberedlist"/>
        <w:rPr>
          <w:lang w:eastAsia="en-GB"/>
        </w:rPr>
      </w:pPr>
      <w:r w:rsidRPr="002D2E8C">
        <w:rPr>
          <w:lang w:eastAsia="en-GB"/>
        </w:rPr>
        <w:t>Add 25 cm</w:t>
      </w:r>
      <w:r w:rsidRPr="00205DF9">
        <w:rPr>
          <w:vertAlign w:val="superscript"/>
          <w:lang w:eastAsia="en-GB"/>
        </w:rPr>
        <w:t>3</w:t>
      </w:r>
      <w:r w:rsidRPr="002D2E8C">
        <w:rPr>
          <w:lang w:eastAsia="en-GB"/>
        </w:rPr>
        <w:t xml:space="preserve"> of propan-2-ol </w:t>
      </w:r>
      <w:r w:rsidR="0024145E">
        <w:rPr>
          <w:lang w:eastAsia="en-GB"/>
        </w:rPr>
        <w:t xml:space="preserve">to the beaker </w:t>
      </w:r>
      <w:r w:rsidRPr="002D2E8C">
        <w:rPr>
          <w:lang w:eastAsia="en-GB"/>
        </w:rPr>
        <w:t xml:space="preserve">and stir rapidly to disperse the powder. </w:t>
      </w:r>
    </w:p>
    <w:p w14:paraId="6B133636" w14:textId="77777777" w:rsidR="0024145E" w:rsidRDefault="002D2E8C" w:rsidP="005D261C">
      <w:pPr>
        <w:pStyle w:val="RSCnumberedlist"/>
        <w:rPr>
          <w:lang w:eastAsia="en-GB"/>
        </w:rPr>
      </w:pPr>
      <w:r w:rsidRPr="002D2E8C">
        <w:rPr>
          <w:lang w:eastAsia="en-GB"/>
        </w:rPr>
        <w:t xml:space="preserve">Add 10 drops of a food dye to the mixture at this stage to help you see the effect more clearly. </w:t>
      </w:r>
    </w:p>
    <w:p w14:paraId="1DA0718F" w14:textId="77777777" w:rsidR="0024145E" w:rsidRDefault="002D2E8C" w:rsidP="005D261C">
      <w:pPr>
        <w:pStyle w:val="RSCnumberedlist"/>
        <w:rPr>
          <w:lang w:eastAsia="en-GB"/>
        </w:rPr>
      </w:pPr>
      <w:r w:rsidRPr="002D2E8C">
        <w:rPr>
          <w:lang w:eastAsia="en-GB"/>
        </w:rPr>
        <w:t>Add</w:t>
      </w:r>
      <w:r w:rsidR="0024145E" w:rsidRPr="0024145E">
        <w:rPr>
          <w:lang w:eastAsia="en-GB"/>
        </w:rPr>
        <w:t xml:space="preserve"> </w:t>
      </w:r>
      <w:r w:rsidR="0024145E" w:rsidRPr="009F4C96">
        <w:rPr>
          <w:lang w:eastAsia="en-GB"/>
        </w:rPr>
        <w:t>approximately</w:t>
      </w:r>
      <w:r w:rsidR="0024145E" w:rsidRPr="0024145E">
        <w:rPr>
          <w:b/>
          <w:bCs/>
          <w:lang w:eastAsia="en-GB"/>
        </w:rPr>
        <w:t xml:space="preserve"> </w:t>
      </w:r>
      <w:r w:rsidRPr="002D2E8C">
        <w:rPr>
          <w:lang w:eastAsia="en-GB"/>
        </w:rPr>
        <w:t>400 cm</w:t>
      </w:r>
      <w:r w:rsidRPr="0024145E">
        <w:rPr>
          <w:vertAlign w:val="superscript"/>
          <w:lang w:eastAsia="en-GB"/>
        </w:rPr>
        <w:t>3</w:t>
      </w:r>
      <w:r w:rsidRPr="002D2E8C">
        <w:rPr>
          <w:lang w:eastAsia="en-GB"/>
        </w:rPr>
        <w:t xml:space="preserve"> of water to a 1000 cm</w:t>
      </w:r>
      <w:r w:rsidRPr="0024145E">
        <w:rPr>
          <w:vertAlign w:val="superscript"/>
          <w:lang w:eastAsia="en-GB"/>
        </w:rPr>
        <w:t>3</w:t>
      </w:r>
      <w:r w:rsidRPr="002D2E8C">
        <w:rPr>
          <w:lang w:eastAsia="en-GB"/>
        </w:rPr>
        <w:t xml:space="preserve"> beaker and tip the dispersed mixture as quickly as possible into the water. </w:t>
      </w:r>
    </w:p>
    <w:p w14:paraId="0F7DDE5D" w14:textId="16F01830" w:rsidR="0024145E" w:rsidRDefault="00E63DE2" w:rsidP="005D261C">
      <w:pPr>
        <w:pStyle w:val="RSCnumberedlist"/>
        <w:rPr>
          <w:lang w:eastAsia="en-GB"/>
        </w:rPr>
      </w:pPr>
      <w:r>
        <w:rPr>
          <w:lang w:eastAsia="en-GB"/>
        </w:rPr>
        <w:t>Mix</w:t>
      </w:r>
      <w:r w:rsidR="002D2E8C" w:rsidRPr="002D2E8C">
        <w:rPr>
          <w:lang w:eastAsia="en-GB"/>
        </w:rPr>
        <w:t xml:space="preserve"> with a stirring rod until the solution thickens and begins to climb the rod. </w:t>
      </w:r>
    </w:p>
    <w:p w14:paraId="30828336" w14:textId="2F314056" w:rsidR="002D2E8C" w:rsidRDefault="002D2E8C" w:rsidP="005D261C">
      <w:pPr>
        <w:pStyle w:val="RSCnumberedlist"/>
        <w:rPr>
          <w:lang w:eastAsia="en-GB"/>
        </w:rPr>
      </w:pPr>
      <w:r w:rsidRPr="002D2E8C">
        <w:rPr>
          <w:lang w:eastAsia="en-GB"/>
        </w:rPr>
        <w:t>Leave it for a few hours to fully hydrate before use.</w:t>
      </w:r>
    </w:p>
    <w:p w14:paraId="0D4AAB12" w14:textId="1C7A8170" w:rsidR="002D2E8C" w:rsidRDefault="002D2E8C" w:rsidP="002D2E8C">
      <w:pPr>
        <w:pStyle w:val="RSCBasictext"/>
        <w:rPr>
          <w:lang w:eastAsia="en-GB"/>
        </w:rPr>
      </w:pPr>
      <w:r w:rsidRPr="002D2E8C">
        <w:rPr>
          <w:lang w:eastAsia="en-GB"/>
        </w:rPr>
        <w:lastRenderedPageBreak/>
        <w:t>You can keep the solution in a sealed bottle for several months. If the viscosity drops on standing, you can revive it by sprinkling some extra PEG powder onto the surface</w:t>
      </w:r>
      <w:r w:rsidR="0024145E">
        <w:rPr>
          <w:lang w:eastAsia="en-GB"/>
        </w:rPr>
        <w:t xml:space="preserve"> of the solution</w:t>
      </w:r>
      <w:r w:rsidRPr="002D2E8C">
        <w:rPr>
          <w:lang w:eastAsia="en-GB"/>
        </w:rPr>
        <w:t>, shaking and leaving it for 24 hours to dissolve.</w:t>
      </w:r>
    </w:p>
    <w:p w14:paraId="177A9F5D" w14:textId="46CAD293" w:rsidR="00307510" w:rsidRPr="002D2E8C" w:rsidRDefault="002D2E8C" w:rsidP="002D2E8C">
      <w:pPr>
        <w:pStyle w:val="RSCH2"/>
        <w:rPr>
          <w:lang w:eastAsia="en-GB"/>
        </w:rPr>
      </w:pPr>
      <w:r>
        <w:rPr>
          <w:lang w:eastAsia="en-GB"/>
        </w:rPr>
        <w:t>Health</w:t>
      </w:r>
      <w:r w:rsidR="00205DF9">
        <w:rPr>
          <w:lang w:eastAsia="en-GB"/>
        </w:rPr>
        <w:t xml:space="preserve">, </w:t>
      </w:r>
      <w:r>
        <w:rPr>
          <w:lang w:eastAsia="en-GB"/>
        </w:rPr>
        <w:t>s</w:t>
      </w:r>
      <w:r w:rsidR="00307510" w:rsidRPr="002D2E8C">
        <w:rPr>
          <w:lang w:eastAsia="en-GB"/>
        </w:rPr>
        <w:t>afety</w:t>
      </w:r>
      <w:r w:rsidR="00205DF9">
        <w:rPr>
          <w:lang w:eastAsia="en-GB"/>
        </w:rPr>
        <w:t xml:space="preserve"> and disposal</w:t>
      </w:r>
    </w:p>
    <w:p w14:paraId="59D8F9E7" w14:textId="0C6503E4" w:rsidR="00205DF9" w:rsidRDefault="00E63DE2" w:rsidP="00E22C33">
      <w:pPr>
        <w:pStyle w:val="RSCBasic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28FA" wp14:editId="0D7FECEC">
                <wp:simplePos x="0" y="0"/>
                <wp:positionH relativeFrom="column">
                  <wp:posOffset>-95250</wp:posOffset>
                </wp:positionH>
                <wp:positionV relativeFrom="paragraph">
                  <wp:posOffset>425450</wp:posOffset>
                </wp:positionV>
                <wp:extent cx="5857875" cy="1762125"/>
                <wp:effectExtent l="19050" t="19050" r="28575" b="28575"/>
                <wp:wrapNone/>
                <wp:docPr id="109303984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762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E10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8DF48" id="Rectangle 1" o:spid="_x0000_s1026" alt="&quot;&quot;" style="position:absolute;margin-left:-7.5pt;margin-top:33.5pt;width:461.2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" filled="f" strokecolor="#8e1055" strokeweight="2.25pt"/>
            </w:pict>
          </mc:Fallback>
        </mc:AlternateContent>
      </w:r>
      <w:r w:rsidR="00071B48" w:rsidRPr="00000624">
        <w:t>Read our standard health and safety guidance</w:t>
      </w:r>
      <w:r w:rsidR="00B63F7E" w:rsidRPr="00B63F7E">
        <w:rPr>
          <w:rStyle w:val="Hyperlink"/>
          <w:color w:val="auto"/>
          <w:u w:val="none"/>
        </w:rPr>
        <w:t>, available from</w:t>
      </w:r>
      <w:r w:rsidR="00071B48" w:rsidRPr="00B63F7E">
        <w:rPr>
          <w:lang w:eastAsia="en-US"/>
        </w:rPr>
        <w:t xml:space="preserve"> </w:t>
      </w:r>
      <w:hyperlink r:id="rId9" w:history="1">
        <w:r w:rsidR="00485DF1" w:rsidRPr="00485DF1">
          <w:rPr>
            <w:rStyle w:val="Hyperlink"/>
            <w:color w:val="8E1055"/>
            <w:lang w:eastAsia="en-US"/>
          </w:rPr>
          <w:t>rsc.li/4a0NS9J</w:t>
        </w:r>
      </w:hyperlink>
      <w:r w:rsidR="00485DF1">
        <w:rPr>
          <w:lang w:eastAsia="en-US"/>
        </w:rPr>
        <w:t>,</w:t>
      </w:r>
      <w:r w:rsidR="00B63F7E">
        <w:rPr>
          <w:rFonts w:ascii="Calibri" w:hAnsi="Calibri"/>
          <w:lang w:eastAsia="en-US"/>
        </w:rPr>
        <w:t xml:space="preserve"> </w:t>
      </w:r>
      <w:r w:rsidR="00071B48">
        <w:t>and carry out a risk assessment before running any live practical.</w:t>
      </w:r>
    </w:p>
    <w:p w14:paraId="5CCB94F3" w14:textId="5775AC38" w:rsidR="00E22C33" w:rsidRDefault="00E63DE2" w:rsidP="00E22C33">
      <w:pPr>
        <w:pStyle w:val="RSCBulletedlist"/>
        <w:numPr>
          <w:ilvl w:val="0"/>
          <w:numId w:val="24"/>
        </w:num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2FC82AA" wp14:editId="679847A9">
            <wp:simplePos x="0" y="0"/>
            <wp:positionH relativeFrom="column">
              <wp:posOffset>4943475</wp:posOffset>
            </wp:positionH>
            <wp:positionV relativeFrom="paragraph">
              <wp:posOffset>179705</wp:posOffset>
            </wp:positionV>
            <wp:extent cx="571500" cy="628650"/>
            <wp:effectExtent l="0" t="0" r="0" b="0"/>
            <wp:wrapSquare wrapText="bothSides"/>
            <wp:docPr id="7897944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944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8" r="8163" b="13158"/>
                    <a:stretch/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2C33">
        <w:rPr>
          <w:lang w:eastAsia="en-GB"/>
        </w:rPr>
        <w:t>Wear eye protection.</w:t>
      </w:r>
      <w:r w:rsidR="0024145E" w:rsidRPr="0024145E">
        <w:rPr>
          <w:noProof/>
          <w:lang w:eastAsia="en-GB"/>
        </w:rPr>
        <w:t xml:space="preserve"> </w:t>
      </w:r>
    </w:p>
    <w:p w14:paraId="091E233E" w14:textId="47699F2A" w:rsidR="00E22C33" w:rsidRDefault="00E22C33" w:rsidP="00E63DE2">
      <w:pPr>
        <w:pStyle w:val="RSCBulletedlist"/>
        <w:numPr>
          <w:ilvl w:val="0"/>
          <w:numId w:val="24"/>
        </w:numPr>
        <w:rPr>
          <w:lang w:eastAsia="en-GB"/>
        </w:rPr>
      </w:pPr>
      <w:r>
        <w:rPr>
          <w:lang w:eastAsia="en-GB"/>
        </w:rPr>
        <w:t>Propan-2-ol is a highly flammable liquid and the vapour may cause drowsiness/dizziness. CLEAPSS members should consult HC084A</w:t>
      </w:r>
      <w:r w:rsidR="00326E44">
        <w:rPr>
          <w:lang w:eastAsia="en-GB"/>
        </w:rPr>
        <w:t xml:space="preserve">, available from: </w:t>
      </w:r>
      <w:hyperlink r:id="rId11" w:history="1">
        <w:r w:rsidR="00485DF1" w:rsidRPr="00485DF1">
          <w:rPr>
            <w:rStyle w:val="Hyperlink"/>
            <w:color w:val="8E1055"/>
            <w:lang w:eastAsia="en-GB"/>
          </w:rPr>
          <w:t>bit.ly/492WA5Z</w:t>
        </w:r>
      </w:hyperlink>
      <w:r w:rsidR="00485DF1">
        <w:rPr>
          <w:lang w:eastAsia="en-GB"/>
        </w:rPr>
        <w:t>.</w:t>
      </w:r>
    </w:p>
    <w:p w14:paraId="3B7AF23B" w14:textId="6086E57C" w:rsidR="00205DF9" w:rsidRDefault="00E22C33" w:rsidP="00205DF9">
      <w:pPr>
        <w:pStyle w:val="RSCBulletedlist"/>
        <w:numPr>
          <w:ilvl w:val="0"/>
          <w:numId w:val="25"/>
        </w:numPr>
        <w:rPr>
          <w:lang w:eastAsia="en-GB"/>
        </w:rPr>
      </w:pPr>
      <w:proofErr w:type="gramStart"/>
      <w:r>
        <w:rPr>
          <w:lang w:eastAsia="en-GB"/>
        </w:rPr>
        <w:t>Poly(</w:t>
      </w:r>
      <w:proofErr w:type="gramEnd"/>
      <w:r>
        <w:rPr>
          <w:lang w:eastAsia="en-GB"/>
        </w:rPr>
        <w:t xml:space="preserve">ethylene glycol) solid is classed as low hazard. The solution can be rather slippery and has some unusual/unexpected properties so you should handle it with care – including clearing up any spills. Hazard classification may vary depending on supplier. </w:t>
      </w:r>
      <w:r w:rsidR="00205DF9" w:rsidRPr="00E22C33">
        <w:rPr>
          <w:lang w:eastAsia="en-GB"/>
        </w:rPr>
        <w:t xml:space="preserve">Dilute the solution and pour it down a </w:t>
      </w:r>
      <w:proofErr w:type="gramStart"/>
      <w:r w:rsidR="00205DF9" w:rsidRPr="00E22C33">
        <w:rPr>
          <w:lang w:eastAsia="en-GB"/>
        </w:rPr>
        <w:t>foul-water</w:t>
      </w:r>
      <w:proofErr w:type="gramEnd"/>
      <w:r w:rsidR="00205DF9" w:rsidRPr="00E22C33">
        <w:rPr>
          <w:lang w:eastAsia="en-GB"/>
        </w:rPr>
        <w:t xml:space="preserve"> drain.</w:t>
      </w:r>
    </w:p>
    <w:p w14:paraId="7E8651D5" w14:textId="6325D5AA" w:rsidR="00205DF9" w:rsidRDefault="00205DF9" w:rsidP="00205DF9">
      <w:pPr>
        <w:pStyle w:val="RSCH2"/>
        <w:rPr>
          <w:lang w:eastAsia="en-GB"/>
        </w:rPr>
      </w:pPr>
      <w:r>
        <w:rPr>
          <w:lang w:eastAsia="en-GB"/>
        </w:rPr>
        <w:t>In front of the class</w:t>
      </w:r>
    </w:p>
    <w:p w14:paraId="5E7333EB" w14:textId="3CA9EECF" w:rsidR="00205DF9" w:rsidRDefault="00205DF9" w:rsidP="00205DF9">
      <w:pPr>
        <w:pStyle w:val="RSCH3"/>
        <w:rPr>
          <w:lang w:eastAsia="en-GB"/>
        </w:rPr>
      </w:pPr>
      <w:r w:rsidRPr="00205DF9">
        <w:rPr>
          <w:lang w:eastAsia="en-GB"/>
        </w:rPr>
        <w:t>Self-siphoning liquid</w:t>
      </w:r>
    </w:p>
    <w:p w14:paraId="2BE3E12E" w14:textId="0BC06D00" w:rsidR="00E63DE2" w:rsidRDefault="00205DF9" w:rsidP="00E63DE2">
      <w:pPr>
        <w:pStyle w:val="RSCBasictext"/>
      </w:pPr>
      <w:r w:rsidRPr="00205DF9">
        <w:t xml:space="preserve">Fill </w:t>
      </w:r>
      <w:r w:rsidR="00171F76">
        <w:t>one of</w:t>
      </w:r>
      <w:r w:rsidRPr="00205DF9">
        <w:t xml:space="preserve"> </w:t>
      </w:r>
      <w:r w:rsidR="00171F76">
        <w:t xml:space="preserve">the </w:t>
      </w:r>
      <w:r w:rsidRPr="00205DF9">
        <w:t>600 cm</w:t>
      </w:r>
      <w:r w:rsidRPr="00205DF9">
        <w:rPr>
          <w:vertAlign w:val="superscript"/>
        </w:rPr>
        <w:t>3</w:t>
      </w:r>
      <w:r w:rsidRPr="00205DF9">
        <w:t xml:space="preserve"> beaker</w:t>
      </w:r>
      <w:r w:rsidR="00171F76">
        <w:t>s</w:t>
      </w:r>
      <w:r w:rsidRPr="00205DF9">
        <w:t xml:space="preserve"> with your PEG solution</w:t>
      </w:r>
      <w:r w:rsidR="00171F76">
        <w:t>.</w:t>
      </w:r>
      <w:r w:rsidRPr="00205DF9">
        <w:t xml:space="preserve"> </w:t>
      </w:r>
      <w:r w:rsidR="00171F76" w:rsidRPr="00171F76">
        <w:t>Place the clamp stand in your demonstrating space and put the second 600</w:t>
      </w:r>
      <w:r w:rsidR="00171F76">
        <w:t xml:space="preserve"> </w:t>
      </w:r>
      <w:r w:rsidR="00171F76" w:rsidRPr="00171F76">
        <w:t>cm</w:t>
      </w:r>
      <w:r w:rsidR="00171F76" w:rsidRPr="00171F76">
        <w:rPr>
          <w:vertAlign w:val="superscript"/>
        </w:rPr>
        <w:t>3</w:t>
      </w:r>
      <w:r w:rsidR="00171F76" w:rsidRPr="00171F76">
        <w:t xml:space="preserve"> beaker (dry and empty) next to </w:t>
      </w:r>
      <w:r w:rsidR="00171F76">
        <w:t>the base of the clamp stand</w:t>
      </w:r>
      <w:r w:rsidR="00171F76" w:rsidRPr="00171F76">
        <w:t xml:space="preserve">. Clamp the PEG solution beaker with its spout above the empty beaker </w:t>
      </w:r>
      <w:r w:rsidRPr="00205DF9">
        <w:t>Tip the upper beaker gently until the liquid starts to pour out of the spout into the second beaker. Keep the angle of the upper beaker constant</w:t>
      </w:r>
      <w:r w:rsidR="003C113A">
        <w:t xml:space="preserve"> and </w:t>
      </w:r>
      <w:r w:rsidRPr="00205DF9">
        <w:t xml:space="preserve">carefully elevate it </w:t>
      </w:r>
      <w:r w:rsidR="00171F76">
        <w:t xml:space="preserve">by moving the clamp’s height </w:t>
      </w:r>
      <w:r w:rsidRPr="00205DF9">
        <w:t>to lengthen the stream.</w:t>
      </w:r>
    </w:p>
    <w:p w14:paraId="25E35929" w14:textId="283AE787" w:rsidR="00E63DE2" w:rsidRDefault="00E63DE2" w:rsidP="00E63DE2">
      <w:pPr>
        <w:pStyle w:val="RSCBasictext"/>
        <w:jc w:val="center"/>
      </w:pPr>
      <w:r>
        <w:rPr>
          <w:noProof/>
        </w:rPr>
        <w:drawing>
          <wp:inline distT="0" distB="0" distL="0" distR="0" wp14:anchorId="76D0F8B0" wp14:editId="28AEAD7F">
            <wp:extent cx="2260738" cy="2943225"/>
            <wp:effectExtent l="0" t="0" r="6350" b="0"/>
            <wp:docPr id="1570685884" name="Picture 1" descr="A diagram of a beaker, containing poly(ethylene glycol) solution, being held in place at a slight angle by a clamp and clamp stand. The solution is self pouring into another beaker below it on a lab ben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85884" name="Picture 1" descr="A diagram of a beaker, containing poly(ethylene glycol) solution, being held in place at a slight angle by a clamp and clamp stand. The solution is self pouring into another beaker below it on a lab bench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3" t="1534" r="3010" b="1820"/>
                    <a:stretch/>
                  </pic:blipFill>
                  <pic:spPr bwMode="auto">
                    <a:xfrm>
                      <a:off x="0" y="0"/>
                      <a:ext cx="2265584" cy="2949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2223C" w14:textId="6A5925FD" w:rsidR="00E63DE2" w:rsidRPr="00ED5981" w:rsidRDefault="00E63DE2" w:rsidP="00E63DE2">
      <w:pPr>
        <w:pStyle w:val="RSCURL"/>
        <w:ind w:right="-46"/>
        <w:jc w:val="center"/>
      </w:pPr>
      <w:r>
        <w:t xml:space="preserve">Source: </w:t>
      </w:r>
      <w:r w:rsidRPr="00ED5981">
        <w:t xml:space="preserve">© Declan Fleming created with </w:t>
      </w:r>
      <w:proofErr w:type="spellStart"/>
      <w:r w:rsidRPr="00ED5981">
        <w:t>Chemix</w:t>
      </w:r>
      <w:proofErr w:type="spellEnd"/>
      <w:r w:rsidRPr="00ED5981">
        <w:t xml:space="preserve"> (</w:t>
      </w:r>
      <w:hyperlink r:id="rId13" w:history="1">
        <w:r w:rsidRPr="00ED5981">
          <w:rPr>
            <w:rStyle w:val="Hyperlink"/>
            <w:color w:val="8E1055"/>
          </w:rPr>
          <w:t>https://chemix.org</w:t>
        </w:r>
      </w:hyperlink>
      <w:r>
        <w:t>)</w:t>
      </w:r>
    </w:p>
    <w:p w14:paraId="76DB8432" w14:textId="4575AA1A" w:rsidR="00205DF9" w:rsidRDefault="00205DF9" w:rsidP="00E63DE2">
      <w:pPr>
        <w:pStyle w:val="RSCBasictext"/>
        <w:rPr>
          <w:noProof/>
        </w:rPr>
      </w:pPr>
      <w:r>
        <w:lastRenderedPageBreak/>
        <w:t>Even as the level of liquid in the upper beaker drops beneath the level of its spout, the liquid will continue pouring out until it is nearly empty.</w:t>
      </w:r>
      <w:r w:rsidR="00E63DE2" w:rsidRPr="00E63DE2">
        <w:rPr>
          <w:noProof/>
        </w:rPr>
        <w:t xml:space="preserve"> </w:t>
      </w:r>
    </w:p>
    <w:p w14:paraId="5E6B6A7F" w14:textId="0C201B9E" w:rsidR="00205DF9" w:rsidRDefault="00205DF9" w:rsidP="00205DF9">
      <w:pPr>
        <w:pStyle w:val="RSCH3"/>
      </w:pPr>
      <w:r>
        <w:t>Cuttable liquid</w:t>
      </w:r>
    </w:p>
    <w:p w14:paraId="7E7FF6A5" w14:textId="381C747D" w:rsidR="00205DF9" w:rsidRDefault="00205DF9" w:rsidP="00205DF9">
      <w:pPr>
        <w:pStyle w:val="RSCBasictext"/>
      </w:pPr>
      <w:r>
        <w:t xml:space="preserve">Demonstrate the unusual cohesive forces in the liquid by cutting the liquid. To do this, place </w:t>
      </w:r>
      <w:r w:rsidR="00171F76">
        <w:t>an empty 600 cm</w:t>
      </w:r>
      <w:r w:rsidR="00171F76" w:rsidRPr="00171F76">
        <w:rPr>
          <w:vertAlign w:val="superscript"/>
        </w:rPr>
        <w:t>3</w:t>
      </w:r>
      <w:r>
        <w:t xml:space="preserve"> beaker </w:t>
      </w:r>
      <w:r w:rsidR="00171F76" w:rsidRPr="00171F76">
        <w:t>in your demonstrating space</w:t>
      </w:r>
      <w:r w:rsidR="00171F76">
        <w:t>, hold the beaker with your PEG solution above it</w:t>
      </w:r>
      <w:r>
        <w:t xml:space="preserve"> and pour the liquid into the</w:t>
      </w:r>
      <w:r w:rsidR="00171F76">
        <w:t xml:space="preserve"> empty</w:t>
      </w:r>
      <w:r>
        <w:t xml:space="preserve"> beaker</w:t>
      </w:r>
      <w:r w:rsidR="00171F76">
        <w:t xml:space="preserve">. </w:t>
      </w:r>
      <w:r w:rsidR="00171F76" w:rsidRPr="00171F76">
        <w:t>Pour over the edge, not the spout, of the beaker</w:t>
      </w:r>
      <w:r w:rsidR="00171F76">
        <w:t>.</w:t>
      </w:r>
      <w:r w:rsidR="00171F76" w:rsidRPr="00171F76">
        <w:t xml:space="preserve"> </w:t>
      </w:r>
      <w:r>
        <w:t xml:space="preserve">Once you have established a good flow of liquid, return the upper beaker nearly to vertical (less than 30° of tilt). Using sharp scissors in your other hand, cut through the liquid </w:t>
      </w:r>
      <w:r w:rsidR="009F4C96" w:rsidRPr="009F4C96">
        <w:rPr>
          <w:lang w:eastAsia="en-GB"/>
        </w:rPr>
        <w:t>approximately</w:t>
      </w:r>
      <w:r w:rsidR="009F4C96">
        <w:rPr>
          <w:b/>
          <w:bCs/>
          <w:lang w:eastAsia="en-GB"/>
        </w:rPr>
        <w:t xml:space="preserve"> </w:t>
      </w:r>
      <w:r>
        <w:t xml:space="preserve">1 cm from the rim of the upper beaker and keep the blade moving as you cut for best results. </w:t>
      </w:r>
      <w:r w:rsidR="009F4C96">
        <w:t>You will see t</w:t>
      </w:r>
      <w:r>
        <w:t>he part of the liquid just above the cut spring back into the upper beaker.</w:t>
      </w:r>
    </w:p>
    <w:p w14:paraId="4E7435F7" w14:textId="2DC7CB47" w:rsidR="001F0147" w:rsidRDefault="009F4C96" w:rsidP="009F4C96">
      <w:pPr>
        <w:pStyle w:val="RSCBasictext"/>
        <w:jc w:val="center"/>
      </w:pPr>
      <w:r>
        <w:rPr>
          <w:noProof/>
        </w:rPr>
        <w:drawing>
          <wp:inline distT="0" distB="0" distL="0" distR="0" wp14:anchorId="64CE3C08" wp14:editId="09E6E25E">
            <wp:extent cx="2933700" cy="2692467"/>
            <wp:effectExtent l="0" t="0" r="0" b="0"/>
            <wp:docPr id="68513611" name="Picture 2" descr="A diagram of a beaker, containing poly(ethylene glycol) solution, at a slight angle. The solution is self pouring into another beaker below it on a lab bench and scissors show the liquid should be cut near the rim of the upper bea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3611" name="Picture 2" descr="A diagram of a beaker, containing poly(ethylene glycol) solution, at a slight angle. The solution is self pouring into another beaker below it on a lab bench and scissors show the liquid should be cut near the rim of the upper beaker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" t="2201" r="2279" b="2588"/>
                    <a:stretch/>
                  </pic:blipFill>
                  <pic:spPr bwMode="auto">
                    <a:xfrm>
                      <a:off x="0" y="0"/>
                      <a:ext cx="2953666" cy="271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3144C" w14:textId="627E7A8A" w:rsidR="00205DF9" w:rsidRDefault="00ED5981" w:rsidP="009F4C96">
      <w:pPr>
        <w:pStyle w:val="RSCURL"/>
        <w:ind w:right="-46"/>
        <w:jc w:val="center"/>
      </w:pPr>
      <w:r>
        <w:t xml:space="preserve">Source: </w:t>
      </w:r>
      <w:r w:rsidRPr="00ED5981">
        <w:t xml:space="preserve">© Declan Fleming created with </w:t>
      </w:r>
      <w:proofErr w:type="spellStart"/>
      <w:r w:rsidRPr="00ED5981">
        <w:t>Chemix</w:t>
      </w:r>
      <w:proofErr w:type="spellEnd"/>
      <w:r w:rsidRPr="00ED5981">
        <w:t xml:space="preserve"> (</w:t>
      </w:r>
      <w:hyperlink r:id="rId15" w:history="1">
        <w:r w:rsidRPr="00ED5981">
          <w:rPr>
            <w:rStyle w:val="Hyperlink"/>
            <w:color w:val="8E1055"/>
          </w:rPr>
          <w:t>https://chemix.org</w:t>
        </w:r>
      </w:hyperlink>
      <w:r>
        <w:t>)</w:t>
      </w:r>
    </w:p>
    <w:p w14:paraId="18141678" w14:textId="738FBFE3" w:rsidR="00205DF9" w:rsidRDefault="00205DF9" w:rsidP="00205DF9">
      <w:pPr>
        <w:pStyle w:val="RSCH2"/>
      </w:pPr>
      <w:r>
        <w:t>Teaching goal</w:t>
      </w:r>
    </w:p>
    <w:p w14:paraId="1A06EAB1" w14:textId="36B31F3F" w:rsidR="00205DF9" w:rsidRDefault="00205DF9" w:rsidP="00205DF9">
      <w:pPr>
        <w:pStyle w:val="RSCBasictext"/>
      </w:pPr>
      <w:proofErr w:type="gramStart"/>
      <w:r>
        <w:t>Poly(</w:t>
      </w:r>
      <w:proofErr w:type="gramEnd"/>
      <w:r>
        <w:t>ethylene glycol), is used widely in drug delivery, wound dressings, artifact conservation, creams, pastes, cosmetics, and more recently mRNA vaccines. The effects seen here result from the solution’s viscoelastic properties – it acts a bit like a liquid and a bit like a solid. The material is viscous, a property of liquids that you can experience in the resistance when you try to stir it. It is also elastic (resists deformation), a property more associated with solids.</w:t>
      </w:r>
    </w:p>
    <w:p w14:paraId="4E3CF01B" w14:textId="477C8CB3" w:rsidR="00205DF9" w:rsidRDefault="00205DF9" w:rsidP="00205DF9">
      <w:pPr>
        <w:pStyle w:val="RSCBasictext"/>
      </w:pPr>
      <w:r>
        <w:t xml:space="preserve">The </w:t>
      </w:r>
      <w:proofErr w:type="gramStart"/>
      <w:r>
        <w:t>poly(</w:t>
      </w:r>
      <w:proofErr w:type="gramEnd"/>
      <w:r>
        <w:t xml:space="preserve">ethylene glycol) particles are more like long chains than small sphere-like molecules. Chemists make the chains by </w:t>
      </w:r>
      <w:r w:rsidRPr="00205DF9">
        <w:t>condensation addition polymerisation of ethane-1,2-diol</w:t>
      </w:r>
      <w:r>
        <w:t xml:space="preserve"> (better known as ethylene glycol)</w:t>
      </w:r>
      <w:r w:rsidR="001F2EA1">
        <w:t xml:space="preserve"> as shown</w:t>
      </w:r>
      <w:r>
        <w:t>.</w:t>
      </w:r>
      <w:r w:rsidR="00326E44">
        <w:t xml:space="preserve"> Read more at: </w:t>
      </w:r>
      <w:hyperlink r:id="rId16" w:history="1">
        <w:r w:rsidR="00485DF1" w:rsidRPr="00485DF1">
          <w:rPr>
            <w:rStyle w:val="Hyperlink"/>
            <w:color w:val="8E1055"/>
          </w:rPr>
          <w:t>bit.ly/43uTtCL</w:t>
        </w:r>
      </w:hyperlink>
      <w:r w:rsidR="00485DF1">
        <w:t xml:space="preserve">. </w:t>
      </w:r>
    </w:p>
    <w:p w14:paraId="2F7B7099" w14:textId="77777777" w:rsidR="00205DF9" w:rsidRDefault="00205DF9" w:rsidP="00205DF9">
      <w:pPr>
        <w:pStyle w:val="RSCBasictext"/>
      </w:pPr>
    </w:p>
    <w:p w14:paraId="2253DD28" w14:textId="3076B172" w:rsidR="00205DF9" w:rsidRDefault="00205DF9" w:rsidP="00205DF9">
      <w:pPr>
        <w:pStyle w:val="RSCBasictext"/>
      </w:pPr>
      <m:oMathPara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HO–C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–C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–OH → HO–(C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–C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–O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–H + </m:t>
          </m:r>
          <m:r>
            <w:rPr>
              <w:rFonts w:ascii="Cambria Math" w:hAnsi="Cambria Math"/>
            </w:rPr>
            <m:t>n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O</m:t>
          </m:r>
        </m:oMath>
      </m:oMathPara>
    </w:p>
    <w:p w14:paraId="51D61E23" w14:textId="04EF8CE7" w:rsidR="00205DF9" w:rsidRDefault="00205DF9" w:rsidP="00205DF9">
      <w:pPr>
        <w:pStyle w:val="RSCBasictext"/>
      </w:pPr>
      <w:r>
        <w:lastRenderedPageBreak/>
        <w:t>Every third atom in the chain is an oxygen, which can accept hydrogen bonds from water, and this helps the two substances to mix.</w:t>
      </w:r>
    </w:p>
    <w:p w14:paraId="5D2D712F" w14:textId="5D635C7C" w:rsidR="00205DF9" w:rsidRDefault="00205DF9" w:rsidP="00205DF9">
      <w:pPr>
        <w:pStyle w:val="RSCBasictext"/>
      </w:pPr>
      <w:r>
        <w:t xml:space="preserve">These chains become entangled as </w:t>
      </w:r>
      <w:r w:rsidR="00485DF1">
        <w:t xml:space="preserve">you apply </w:t>
      </w:r>
      <w:r>
        <w:t>a force</w:t>
      </w:r>
      <w:r w:rsidR="00485DF1">
        <w:t xml:space="preserve"> – </w:t>
      </w:r>
      <w:r>
        <w:t>like the weight of the liquid pulling down on the stream of fluid</w:t>
      </w:r>
      <w:r w:rsidR="00485DF1">
        <w:t xml:space="preserve"> –</w:t>
      </w:r>
      <w:r>
        <w:t xml:space="preserve"> causing them to display more elastic properties. You can model this with a pile of rope or Christmas bead decorations: if you pull quickly, the material will knot up (modelling elastic behaviour), but if you pull slowly the chains will disentangle and separate (modelling viscous behaviour).</w:t>
      </w:r>
    </w:p>
    <w:p w14:paraId="304E9874" w14:textId="606B46BE" w:rsidR="00ED5981" w:rsidRDefault="005663DE" w:rsidP="00ED5981">
      <w:pPr>
        <w:pStyle w:val="RSCH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5F7DA" wp14:editId="4A4B5BC1">
                <wp:simplePos x="0" y="0"/>
                <wp:positionH relativeFrom="column">
                  <wp:posOffset>-66675</wp:posOffset>
                </wp:positionH>
                <wp:positionV relativeFrom="paragraph">
                  <wp:posOffset>207010</wp:posOffset>
                </wp:positionV>
                <wp:extent cx="5829300" cy="2317750"/>
                <wp:effectExtent l="19050" t="19050" r="19050" b="25400"/>
                <wp:wrapNone/>
                <wp:docPr id="147188262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317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E10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27739" id="Rectangle 1" o:spid="_x0000_s1026" alt="&quot;&quot;" style="position:absolute;margin-left:-5.25pt;margin-top:16.3pt;width:459pt;height:1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" filled="f" strokecolor="#8e1055" strokeweight="2.25pt"/>
            </w:pict>
          </mc:Fallback>
        </mc:AlternateContent>
      </w:r>
      <w:r w:rsidR="00ED5981">
        <w:t>Tips</w:t>
      </w:r>
    </w:p>
    <w:p w14:paraId="523B625F" w14:textId="7F119418" w:rsidR="00ED5981" w:rsidRDefault="00ED5981" w:rsidP="00ED5981">
      <w:pPr>
        <w:pStyle w:val="RSCBulletedlist"/>
        <w:numPr>
          <w:ilvl w:val="0"/>
          <w:numId w:val="26"/>
        </w:numPr>
      </w:pPr>
      <w:r>
        <w:t xml:space="preserve">Educational suppliers sell the colourless solid required for this demonstration as </w:t>
      </w:r>
      <w:proofErr w:type="spellStart"/>
      <w:r>
        <w:t>polyox</w:t>
      </w:r>
      <w:proofErr w:type="spellEnd"/>
      <w:r>
        <w:t xml:space="preserve">, but you can also buy it from chemical suppliers as PEG, </w:t>
      </w:r>
      <w:proofErr w:type="gramStart"/>
      <w:r>
        <w:t>poly(</w:t>
      </w:r>
      <w:proofErr w:type="gramEnd"/>
      <w:r>
        <w:t>ethylene glycol), or PEO, poly(ethylene oxide).</w:t>
      </w:r>
    </w:p>
    <w:p w14:paraId="4B39B43F" w14:textId="512EB1B5" w:rsidR="00ED5981" w:rsidRDefault="00ED5981" w:rsidP="00ED5981">
      <w:pPr>
        <w:pStyle w:val="RSCBulletedlist"/>
        <w:numPr>
          <w:ilvl w:val="0"/>
          <w:numId w:val="26"/>
        </w:numPr>
      </w:pPr>
      <w:r>
        <w:t xml:space="preserve">This demo requires chains of </w:t>
      </w:r>
      <w:r w:rsidR="009F4C96" w:rsidRPr="009F4C96">
        <w:rPr>
          <w:lang w:eastAsia="en-GB"/>
        </w:rPr>
        <w:t>approximately</w:t>
      </w:r>
      <w:r w:rsidR="009F4C96">
        <w:rPr>
          <w:b/>
          <w:bCs/>
          <w:lang w:eastAsia="en-GB"/>
        </w:rPr>
        <w:t xml:space="preserve"> </w:t>
      </w:r>
      <w:r>
        <w:t>90,000 repeating units that weigh 4,000,000 g mol</w:t>
      </w:r>
      <w:r w:rsidRPr="00205DF9">
        <w:rPr>
          <w:vertAlign w:val="superscript"/>
        </w:rPr>
        <w:t>–1</w:t>
      </w:r>
      <w:r>
        <w:t>. Suppliers may label this PEG–90M, where M is thousands-of-monomers, or WSR 301.</w:t>
      </w:r>
    </w:p>
    <w:p w14:paraId="7FC4B7A3" w14:textId="77777777" w:rsidR="00ED5981" w:rsidRDefault="00ED5981" w:rsidP="00ED5981">
      <w:pPr>
        <w:pStyle w:val="RSCBulletedlist"/>
        <w:numPr>
          <w:ilvl w:val="0"/>
          <w:numId w:val="26"/>
        </w:numPr>
      </w:pPr>
      <w:r>
        <w:t>Do not use products that contain shorter chains labelled simply with a number, such as PEG 400. Here the number indicates the molecular weight. Solutions made from these shorter chains will not produce the effect described here.</w:t>
      </w:r>
    </w:p>
    <w:p w14:paraId="2D67DC03" w14:textId="77777777" w:rsidR="00ED5981" w:rsidRPr="00205DF9" w:rsidRDefault="00ED5981" w:rsidP="00205DF9">
      <w:pPr>
        <w:pStyle w:val="RSCBasictext"/>
      </w:pPr>
    </w:p>
    <w:bookmarkEnd w:id="0"/>
    <w:p w14:paraId="522D16BD" w14:textId="63F512FD" w:rsidR="00D00AB5" w:rsidRPr="00CD56DB" w:rsidRDefault="00D00AB5" w:rsidP="00D00AB5">
      <w:pPr>
        <w:pStyle w:val="RSCMarks"/>
        <w:rPr>
          <w:color w:val="006F62"/>
        </w:rPr>
      </w:pPr>
    </w:p>
    <w:p w14:paraId="7F3EC2A4" w14:textId="7EF08116" w:rsidR="00D00AB5" w:rsidRPr="00F74583" w:rsidRDefault="00D00AB5" w:rsidP="00F74583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</w:p>
    <w:sectPr w:rsidR="00D00AB5" w:rsidRPr="00F74583" w:rsidSect="00231C1C">
      <w:headerReference w:type="default" r:id="rId17"/>
      <w:footerReference w:type="default" r:id="rId18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76F0" w14:textId="77777777" w:rsidR="007A08F5" w:rsidRDefault="007A08F5" w:rsidP="008A1B0B">
      <w:pPr>
        <w:spacing w:after="0" w:line="240" w:lineRule="auto"/>
      </w:pPr>
      <w:r>
        <w:separator/>
      </w:r>
    </w:p>
  </w:endnote>
  <w:endnote w:type="continuationSeparator" w:id="0">
    <w:p w14:paraId="7981FF4B" w14:textId="77777777" w:rsidR="007A08F5" w:rsidRDefault="007A08F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F93E5A8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63F7E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33B9" w14:textId="77777777" w:rsidR="007A08F5" w:rsidRDefault="007A08F5" w:rsidP="008A1B0B">
      <w:pPr>
        <w:spacing w:after="0" w:line="240" w:lineRule="auto"/>
      </w:pPr>
      <w:r>
        <w:separator/>
      </w:r>
    </w:p>
  </w:footnote>
  <w:footnote w:type="continuationSeparator" w:id="0">
    <w:p w14:paraId="2FCC546E" w14:textId="77777777" w:rsidR="007A08F5" w:rsidRDefault="007A08F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46EAABC" w:rsidR="008A1B0B" w:rsidRDefault="00104CB2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0" locked="0" layoutInCell="1" allowOverlap="1" wp14:anchorId="03C1906C" wp14:editId="4BC43DF0">
          <wp:simplePos x="0" y="0"/>
          <wp:positionH relativeFrom="column">
            <wp:posOffset>-542925</wp:posOffset>
          </wp:positionH>
          <wp:positionV relativeFrom="paragraph">
            <wp:posOffset>40640</wp:posOffset>
          </wp:positionV>
          <wp:extent cx="2160905" cy="362585"/>
          <wp:effectExtent l="0" t="0" r="0" b="0"/>
          <wp:wrapNone/>
          <wp:docPr id="1641035530" name="Picture 16410355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7A53"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1B89F19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470102339" name="Picture 14701023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2536E388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931245877" name="Picture 9312458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B48">
      <w:rPr>
        <w:rFonts w:ascii="Century Gothic" w:hAnsi="Century Gothic"/>
        <w:b/>
        <w:bCs/>
        <w:color w:val="991E66"/>
        <w:sz w:val="30"/>
        <w:szCs w:val="30"/>
      </w:rPr>
      <w:t xml:space="preserve">Exhibition </w:t>
    </w:r>
    <w:r w:rsidR="00071B48" w:rsidRPr="00B63F7E">
      <w:rPr>
        <w:rFonts w:ascii="Century Gothic" w:hAnsi="Century Gothic"/>
        <w:b/>
        <w:bCs/>
        <w:color w:val="991E66"/>
        <w:sz w:val="30"/>
        <w:szCs w:val="30"/>
      </w:rPr>
      <w:t>chemistry</w:t>
    </w:r>
    <w:r w:rsidR="00557BF2" w:rsidRPr="00DF7826">
      <w:rPr>
        <w:rFonts w:ascii="Century Gothic" w:hAnsi="Century Gothic"/>
        <w:b/>
        <w:bCs/>
        <w:color w:val="FF0000"/>
        <w:sz w:val="24"/>
        <w:szCs w:val="24"/>
      </w:rPr>
      <w:t xml:space="preserve"> </w:t>
    </w:r>
  </w:p>
  <w:p w14:paraId="014B122C" w14:textId="1ED7216A" w:rsidR="00557BF2" w:rsidRPr="00557BF2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="00905E09" w:rsidRPr="00B63F7E">
        <w:rPr>
          <w:rStyle w:val="Hyperlink"/>
          <w:rFonts w:ascii="Century Gothic" w:hAnsi="Century Gothic"/>
          <w:b/>
          <w:bCs/>
          <w:color w:val="991E66"/>
          <w:sz w:val="18"/>
          <w:szCs w:val="18"/>
        </w:rPr>
        <w:t>rsc.li/</w:t>
      </w:r>
      <w:r w:rsidR="002D2E8C" w:rsidRPr="002D2E8C">
        <w:rPr>
          <w:rStyle w:val="Hyperlink"/>
          <w:rFonts w:ascii="Century Gothic" w:hAnsi="Century Gothic"/>
          <w:b/>
          <w:bCs/>
          <w:color w:val="991E66"/>
          <w:sz w:val="18"/>
          <w:szCs w:val="18"/>
        </w:rPr>
        <w:t xml:space="preserve">3TaTHKv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3314DF"/>
    <w:multiLevelType w:val="hybridMultilevel"/>
    <w:tmpl w:val="FFB8E766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991E66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AD1C9342"/>
    <w:lvl w:ilvl="0" w:tplc="B5E00B4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8E1055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55A3C"/>
    <w:multiLevelType w:val="hybridMultilevel"/>
    <w:tmpl w:val="EC92222E"/>
    <w:lvl w:ilvl="0" w:tplc="8CC2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E6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D34E4"/>
    <w:multiLevelType w:val="hybridMultilevel"/>
    <w:tmpl w:val="5A40AD10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991E66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6F0B44"/>
    <w:multiLevelType w:val="hybridMultilevel"/>
    <w:tmpl w:val="FA6CAFA4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991E66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93E90"/>
    <w:multiLevelType w:val="hybridMultilevel"/>
    <w:tmpl w:val="74F43388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991E66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05598">
    <w:abstractNumId w:val="21"/>
  </w:num>
  <w:num w:numId="2" w16cid:durableId="46608390">
    <w:abstractNumId w:val="11"/>
  </w:num>
  <w:num w:numId="3" w16cid:durableId="767046158">
    <w:abstractNumId w:val="6"/>
  </w:num>
  <w:num w:numId="4" w16cid:durableId="1754862014">
    <w:abstractNumId w:val="9"/>
  </w:num>
  <w:num w:numId="5" w16cid:durableId="522865220">
    <w:abstractNumId w:val="18"/>
  </w:num>
  <w:num w:numId="6" w16cid:durableId="1092093063">
    <w:abstractNumId w:val="20"/>
  </w:num>
  <w:num w:numId="7" w16cid:durableId="1042751722">
    <w:abstractNumId w:val="2"/>
  </w:num>
  <w:num w:numId="8" w16cid:durableId="339281078">
    <w:abstractNumId w:val="5"/>
  </w:num>
  <w:num w:numId="9" w16cid:durableId="166483661">
    <w:abstractNumId w:val="4"/>
  </w:num>
  <w:num w:numId="10" w16cid:durableId="739593575">
    <w:abstractNumId w:val="3"/>
  </w:num>
  <w:num w:numId="11" w16cid:durableId="1035690940">
    <w:abstractNumId w:val="12"/>
  </w:num>
  <w:num w:numId="12" w16cid:durableId="1470199975">
    <w:abstractNumId w:val="3"/>
    <w:lvlOverride w:ilvl="0">
      <w:startOverride w:val="1"/>
    </w:lvlOverride>
  </w:num>
  <w:num w:numId="13" w16cid:durableId="1479612613">
    <w:abstractNumId w:val="17"/>
  </w:num>
  <w:num w:numId="14" w16cid:durableId="1674912029">
    <w:abstractNumId w:val="15"/>
  </w:num>
  <w:num w:numId="15" w16cid:durableId="2099716115">
    <w:abstractNumId w:val="10"/>
  </w:num>
  <w:num w:numId="16" w16cid:durableId="649024404">
    <w:abstractNumId w:val="0"/>
  </w:num>
  <w:num w:numId="17" w16cid:durableId="1550605262">
    <w:abstractNumId w:val="7"/>
  </w:num>
  <w:num w:numId="18" w16cid:durableId="181480924">
    <w:abstractNumId w:val="8"/>
  </w:num>
  <w:num w:numId="19" w16cid:durableId="2003771580">
    <w:abstractNumId w:val="4"/>
    <w:lvlOverride w:ilvl="0">
      <w:startOverride w:val="1"/>
    </w:lvlOverride>
  </w:num>
  <w:num w:numId="20" w16cid:durableId="2139297354">
    <w:abstractNumId w:val="19"/>
  </w:num>
  <w:num w:numId="21" w16cid:durableId="1368411444">
    <w:abstractNumId w:val="2"/>
  </w:num>
  <w:num w:numId="22" w16cid:durableId="1597057039">
    <w:abstractNumId w:val="16"/>
  </w:num>
  <w:num w:numId="23" w16cid:durableId="1359821052">
    <w:abstractNumId w:val="13"/>
  </w:num>
  <w:num w:numId="24" w16cid:durableId="1433546299">
    <w:abstractNumId w:val="22"/>
  </w:num>
  <w:num w:numId="25" w16cid:durableId="987248214">
    <w:abstractNumId w:val="14"/>
  </w:num>
  <w:num w:numId="26" w16cid:durableId="170105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624"/>
    <w:rsid w:val="00022B65"/>
    <w:rsid w:val="00046615"/>
    <w:rsid w:val="0005730B"/>
    <w:rsid w:val="000706B6"/>
    <w:rsid w:val="00071B48"/>
    <w:rsid w:val="000878DA"/>
    <w:rsid w:val="00087C7B"/>
    <w:rsid w:val="0009292F"/>
    <w:rsid w:val="0009740A"/>
    <w:rsid w:val="000B0210"/>
    <w:rsid w:val="000B0FE6"/>
    <w:rsid w:val="000D71A0"/>
    <w:rsid w:val="000E6E48"/>
    <w:rsid w:val="00104CB2"/>
    <w:rsid w:val="00146FCD"/>
    <w:rsid w:val="00147637"/>
    <w:rsid w:val="00170732"/>
    <w:rsid w:val="00171F76"/>
    <w:rsid w:val="00180C62"/>
    <w:rsid w:val="001A278F"/>
    <w:rsid w:val="001D1067"/>
    <w:rsid w:val="001F0147"/>
    <w:rsid w:val="001F2D74"/>
    <w:rsid w:val="001F2EA1"/>
    <w:rsid w:val="0020477A"/>
    <w:rsid w:val="00205DF9"/>
    <w:rsid w:val="002304A7"/>
    <w:rsid w:val="00231C1C"/>
    <w:rsid w:val="0024145E"/>
    <w:rsid w:val="00247B87"/>
    <w:rsid w:val="002549BE"/>
    <w:rsid w:val="00255470"/>
    <w:rsid w:val="00260D45"/>
    <w:rsid w:val="002A3C79"/>
    <w:rsid w:val="002B06C9"/>
    <w:rsid w:val="002C2223"/>
    <w:rsid w:val="002C7508"/>
    <w:rsid w:val="002D2E8C"/>
    <w:rsid w:val="002D34BA"/>
    <w:rsid w:val="002E3EAA"/>
    <w:rsid w:val="002E47CA"/>
    <w:rsid w:val="002F2A90"/>
    <w:rsid w:val="002F35A3"/>
    <w:rsid w:val="003059AB"/>
    <w:rsid w:val="003066BC"/>
    <w:rsid w:val="00307510"/>
    <w:rsid w:val="00326E44"/>
    <w:rsid w:val="00362CD9"/>
    <w:rsid w:val="003716B9"/>
    <w:rsid w:val="00383A44"/>
    <w:rsid w:val="003979ED"/>
    <w:rsid w:val="003B7300"/>
    <w:rsid w:val="003C113A"/>
    <w:rsid w:val="003C643A"/>
    <w:rsid w:val="003D6657"/>
    <w:rsid w:val="0040508A"/>
    <w:rsid w:val="00414DC8"/>
    <w:rsid w:val="004441DE"/>
    <w:rsid w:val="0044650F"/>
    <w:rsid w:val="00446F05"/>
    <w:rsid w:val="0046389A"/>
    <w:rsid w:val="00485CEA"/>
    <w:rsid w:val="00485DF1"/>
    <w:rsid w:val="004C6155"/>
    <w:rsid w:val="004E4E17"/>
    <w:rsid w:val="00503A03"/>
    <w:rsid w:val="00512B6D"/>
    <w:rsid w:val="00516F80"/>
    <w:rsid w:val="0052289F"/>
    <w:rsid w:val="0055336A"/>
    <w:rsid w:val="00557BF2"/>
    <w:rsid w:val="005663DE"/>
    <w:rsid w:val="005A5001"/>
    <w:rsid w:val="005B4AFE"/>
    <w:rsid w:val="005F286E"/>
    <w:rsid w:val="00623DCE"/>
    <w:rsid w:val="006820BE"/>
    <w:rsid w:val="006D790E"/>
    <w:rsid w:val="006E13FB"/>
    <w:rsid w:val="007042E5"/>
    <w:rsid w:val="00747E9A"/>
    <w:rsid w:val="00747FE6"/>
    <w:rsid w:val="0077600A"/>
    <w:rsid w:val="007A08F5"/>
    <w:rsid w:val="007B56F2"/>
    <w:rsid w:val="007E670F"/>
    <w:rsid w:val="00803338"/>
    <w:rsid w:val="0081721A"/>
    <w:rsid w:val="00835B9C"/>
    <w:rsid w:val="00862463"/>
    <w:rsid w:val="0089187A"/>
    <w:rsid w:val="00893B8E"/>
    <w:rsid w:val="00893F3D"/>
    <w:rsid w:val="008A1B0B"/>
    <w:rsid w:val="008B34F9"/>
    <w:rsid w:val="008B54F1"/>
    <w:rsid w:val="008D63F3"/>
    <w:rsid w:val="008D7A53"/>
    <w:rsid w:val="00905E09"/>
    <w:rsid w:val="00915682"/>
    <w:rsid w:val="009272D0"/>
    <w:rsid w:val="00942047"/>
    <w:rsid w:val="009D4F18"/>
    <w:rsid w:val="009F4C96"/>
    <w:rsid w:val="00A04349"/>
    <w:rsid w:val="00A13442"/>
    <w:rsid w:val="00A5348B"/>
    <w:rsid w:val="00A571EB"/>
    <w:rsid w:val="00A5740C"/>
    <w:rsid w:val="00A57AE5"/>
    <w:rsid w:val="00A614BE"/>
    <w:rsid w:val="00A725C3"/>
    <w:rsid w:val="00AA2485"/>
    <w:rsid w:val="00B226A7"/>
    <w:rsid w:val="00B30A6E"/>
    <w:rsid w:val="00B32882"/>
    <w:rsid w:val="00B63F7E"/>
    <w:rsid w:val="00B67A03"/>
    <w:rsid w:val="00B71E66"/>
    <w:rsid w:val="00BA3729"/>
    <w:rsid w:val="00C1703F"/>
    <w:rsid w:val="00C314E5"/>
    <w:rsid w:val="00C42C64"/>
    <w:rsid w:val="00C43346"/>
    <w:rsid w:val="00C87061"/>
    <w:rsid w:val="00CD3159"/>
    <w:rsid w:val="00CD3907"/>
    <w:rsid w:val="00CD5E3C"/>
    <w:rsid w:val="00CF6E3E"/>
    <w:rsid w:val="00D00AB5"/>
    <w:rsid w:val="00D065FA"/>
    <w:rsid w:val="00D17CC0"/>
    <w:rsid w:val="00D45D99"/>
    <w:rsid w:val="00D60D30"/>
    <w:rsid w:val="00D95F88"/>
    <w:rsid w:val="00DC0D9C"/>
    <w:rsid w:val="00DD432E"/>
    <w:rsid w:val="00DF7826"/>
    <w:rsid w:val="00E22C33"/>
    <w:rsid w:val="00E63DE2"/>
    <w:rsid w:val="00E95DE4"/>
    <w:rsid w:val="00EC7EFF"/>
    <w:rsid w:val="00ED5981"/>
    <w:rsid w:val="00F74583"/>
    <w:rsid w:val="00F80ECB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D2E8C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8E1055"/>
      <w:sz w:val="36"/>
      <w:szCs w:val="36"/>
    </w:rPr>
  </w:style>
  <w:style w:type="paragraph" w:customStyle="1" w:styleId="RSCH2">
    <w:name w:val="RSC H2"/>
    <w:basedOn w:val="Normal"/>
    <w:qFormat/>
    <w:rsid w:val="002D2E8C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8E1055"/>
      <w:sz w:val="28"/>
      <w:szCs w:val="22"/>
    </w:rPr>
  </w:style>
  <w:style w:type="paragraph" w:customStyle="1" w:styleId="RSCH3">
    <w:name w:val="RSC H3"/>
    <w:basedOn w:val="RSCBasictext"/>
    <w:qFormat/>
    <w:rsid w:val="002D2E8C"/>
    <w:pPr>
      <w:spacing w:before="300"/>
    </w:pPr>
    <w:rPr>
      <w:b/>
      <w:bCs/>
      <w:color w:val="8E1055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2E8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8E1055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D2E8C"/>
    <w:pPr>
      <w:spacing w:after="86"/>
      <w:ind w:right="-850"/>
      <w:jc w:val="left"/>
    </w:pPr>
    <w:rPr>
      <w:rFonts w:ascii="Century Gothic" w:hAnsi="Century Gothic"/>
      <w:b/>
      <w:bCs/>
      <w:color w:val="8E1055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3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A5001"/>
    <w:rPr>
      <w:i/>
      <w:iCs/>
      <w:color w:val="991E66" w:themeColor="accent1"/>
    </w:rPr>
  </w:style>
  <w:style w:type="paragraph" w:customStyle="1" w:styleId="Standard">
    <w:name w:val="Standard"/>
    <w:uiPriority w:val="99"/>
    <w:semiHidden/>
    <w:rsid w:val="00071B48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000624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6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00062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00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24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TaTHKv" TargetMode="External"/><Relationship Id="rId13" Type="http://schemas.openxmlformats.org/officeDocument/2006/relationships/hyperlink" Target="https://chemix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it.ly/43uTt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492WA5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mix.org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c.li/4a0NS9J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rsc.li/3TaTHKv" TargetMode="External"/></Relationships>
</file>

<file path=word/theme/theme1.xml><?xml version="1.0" encoding="utf-8"?>
<a:theme xmlns:a="http://schemas.openxmlformats.org/drawingml/2006/main" name="Office Theme">
  <a:themeElements>
    <a:clrScheme name="EiC pl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E6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Self-pouring polymer technician notes</vt:lpstr>
    </vt:vector>
  </TitlesOfParts>
  <Manager/>
  <Company>Royal Society of Chemistry</Company>
  <LinksUpToDate>false</LinksUpToDate>
  <CharactersWithSpaces>6144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Self-pouring polymer technician notes</dc:title>
  <dc:subject/>
  <dc:creator>Royal Society of Chemistry</dc:creator>
  <cp:keywords>polymer, properties, viscoelastic, solution, liquid, solid, poly(ethylene glycol), polyox, demonstration, particles, plastics, siphon, cuttable liquid</cp:keywords>
  <dc:description>From Self-pouring polymer, Education in Chemistry, https://rsc.li/3TaTHKv</dc:description>
  <cp:lastModifiedBy>Georgia Murphy</cp:lastModifiedBy>
  <cp:revision>12</cp:revision>
  <dcterms:created xsi:type="dcterms:W3CDTF">2024-04-02T09:46:00Z</dcterms:created>
  <dcterms:modified xsi:type="dcterms:W3CDTF">2024-04-16T10:59:00Z</dcterms:modified>
  <cp:category/>
</cp:coreProperties>
</file>