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5C104544" w:rsidR="00A0567D" w:rsidRDefault="00D5521B" w:rsidP="003D4276">
      <w:pPr>
        <w:pStyle w:val="RSCH1"/>
      </w:pPr>
      <w:r>
        <w:t xml:space="preserve">Titration </w:t>
      </w:r>
      <w:r w:rsidR="00C533D8">
        <w:t>apparatus</w:t>
      </w:r>
    </w:p>
    <w:p w14:paraId="6A5565DD" w14:textId="142A14EF" w:rsidR="003D4276" w:rsidRDefault="00100A13" w:rsidP="003D4276">
      <w:pPr>
        <w:pStyle w:val="RSCBasictext"/>
        <w:spacing w:after="0"/>
      </w:pPr>
      <w:r>
        <w:t>In titration</w:t>
      </w:r>
      <w:r w:rsidR="00E32B43">
        <w:t>,</w:t>
      </w:r>
      <w:r>
        <w:t xml:space="preserve"> we use apparatus not often used in other experiments. It</w:t>
      </w:r>
      <w:r w:rsidR="001834F1">
        <w:t>’</w:t>
      </w:r>
      <w:r>
        <w:t xml:space="preserve">s important to know </w:t>
      </w:r>
      <w:r w:rsidR="00391BE9">
        <w:t>why we use ea</w:t>
      </w:r>
      <w:r>
        <w:t xml:space="preserve">ch piece of apparatus and its role in </w:t>
      </w:r>
      <w:r w:rsidR="00391BE9">
        <w:t>a</w:t>
      </w:r>
      <w:r>
        <w:t xml:space="preserve"> titration. </w:t>
      </w:r>
    </w:p>
    <w:p w14:paraId="14160F03" w14:textId="1C317DE6" w:rsidR="008D4819" w:rsidRDefault="00100A13" w:rsidP="003D4276">
      <w:pPr>
        <w:pStyle w:val="RSCH2"/>
      </w:pPr>
      <w:r>
        <w:t xml:space="preserve">Measuring </w:t>
      </w:r>
      <w:r w:rsidR="002D2E77">
        <w:t>apparatus</w:t>
      </w:r>
    </w:p>
    <w:p w14:paraId="09038C69" w14:textId="60A8E7D3" w:rsidR="004269A4" w:rsidRDefault="00A41118" w:rsidP="00AA4C61">
      <w:pPr>
        <w:pStyle w:val="RSCBulletedlist"/>
      </w:pPr>
      <w:r w:rsidRPr="00AA4C61">
        <w:rPr>
          <w:b/>
          <w:bCs/>
        </w:rPr>
        <w:t>Volumetric</w:t>
      </w:r>
      <w:r w:rsidR="00100A13" w:rsidRPr="00AA4C61">
        <w:rPr>
          <w:b/>
          <w:bCs/>
        </w:rPr>
        <w:t xml:space="preserve"> pipette</w:t>
      </w:r>
      <w:r w:rsidRPr="00AA4C61">
        <w:rPr>
          <w:b/>
          <w:bCs/>
        </w:rPr>
        <w:t>s</w:t>
      </w:r>
      <w:r w:rsidR="000B310C">
        <w:t xml:space="preserve"> </w:t>
      </w:r>
      <w:r>
        <w:t>are</w:t>
      </w:r>
      <w:r w:rsidR="00100A13">
        <w:t xml:space="preserve"> specially </w:t>
      </w:r>
      <w:r w:rsidR="0060474E">
        <w:t xml:space="preserve">calibrated </w:t>
      </w:r>
      <w:r w:rsidR="00100A13">
        <w:t xml:space="preserve">to deliver a </w:t>
      </w:r>
      <w:r w:rsidR="0060474E" w:rsidRPr="00AA4C61">
        <w:rPr>
          <w:b/>
          <w:bCs/>
        </w:rPr>
        <w:t>fixed</w:t>
      </w:r>
      <w:r w:rsidR="00100A13" w:rsidRPr="00AA4C61">
        <w:rPr>
          <w:b/>
          <w:bCs/>
        </w:rPr>
        <w:t xml:space="preserve"> volume</w:t>
      </w:r>
      <w:r w:rsidR="00100A13">
        <w:t xml:space="preserve"> of solution. </w:t>
      </w:r>
      <w:r w:rsidR="00E36424">
        <w:t xml:space="preserve">You fill the  </w:t>
      </w:r>
      <w:r w:rsidR="00100A13">
        <w:t xml:space="preserve">pipette with a </w:t>
      </w:r>
      <w:r w:rsidR="00100A13" w:rsidRPr="00AA4C61">
        <w:rPr>
          <w:b/>
          <w:bCs/>
        </w:rPr>
        <w:t>pipette filler</w:t>
      </w:r>
      <w:r w:rsidR="00100A13">
        <w:t xml:space="preserve"> to the </w:t>
      </w:r>
      <w:r w:rsidR="00100A13" w:rsidRPr="00156282">
        <w:t>fill mark</w:t>
      </w:r>
      <w:r w:rsidR="00C5095F">
        <w:t>,</w:t>
      </w:r>
      <w:r w:rsidR="00100A13">
        <w:t xml:space="preserve"> then release</w:t>
      </w:r>
      <w:r w:rsidR="00A31F46">
        <w:t xml:space="preserve"> the solution</w:t>
      </w:r>
      <w:r w:rsidR="00100A13">
        <w:t xml:space="preserve"> into </w:t>
      </w:r>
      <w:r w:rsidR="00194F4B">
        <w:t xml:space="preserve">a </w:t>
      </w:r>
      <w:r w:rsidR="00100A13" w:rsidRPr="00AA4C61">
        <w:rPr>
          <w:b/>
          <w:bCs/>
        </w:rPr>
        <w:t>conical flask</w:t>
      </w:r>
      <w:r w:rsidR="00100A13">
        <w:t xml:space="preserve">. </w:t>
      </w:r>
    </w:p>
    <w:p w14:paraId="1E2894D3" w14:textId="46D66941" w:rsidR="00247E3A" w:rsidRDefault="0060474E" w:rsidP="00AA4C61">
      <w:pPr>
        <w:pStyle w:val="RSCBulletedlist"/>
      </w:pPr>
      <w:r w:rsidRPr="00AA4C61">
        <w:rPr>
          <w:b/>
          <w:bCs/>
        </w:rPr>
        <w:t>Burettes</w:t>
      </w:r>
      <w:r w:rsidR="000B310C">
        <w:t xml:space="preserve"> </w:t>
      </w:r>
      <w:r>
        <w:t xml:space="preserve">are </w:t>
      </w:r>
      <w:r w:rsidRPr="00AA4C61">
        <w:rPr>
          <w:b/>
          <w:bCs/>
        </w:rPr>
        <w:t>graduated</w:t>
      </w:r>
      <w:r w:rsidR="00044EFB">
        <w:t xml:space="preserve"> (they have measurement lines) </w:t>
      </w:r>
      <w:r>
        <w:t xml:space="preserve">and deliver a </w:t>
      </w:r>
      <w:r w:rsidRPr="00AA4C61">
        <w:rPr>
          <w:b/>
          <w:bCs/>
        </w:rPr>
        <w:t>variable volume</w:t>
      </w:r>
      <w:r>
        <w:t xml:space="preserve"> of solution. </w:t>
      </w:r>
      <w:r w:rsidR="00044EFB">
        <w:t>The scale is the opposite to</w:t>
      </w:r>
      <w:r w:rsidR="00391BE9">
        <w:t xml:space="preserve"> that of</w:t>
      </w:r>
      <w:r w:rsidR="00044EFB">
        <w:t xml:space="preserve"> a measuring cylinder</w:t>
      </w:r>
      <w:r w:rsidR="00BC2F0A">
        <w:t xml:space="preserve"> – </w:t>
      </w:r>
      <w:r w:rsidR="00044EFB">
        <w:t>the top mark on the burette is 0.00 cm</w:t>
      </w:r>
      <w:r w:rsidR="00044EFB" w:rsidRPr="00BC2F0A">
        <w:rPr>
          <w:vertAlign w:val="superscript"/>
        </w:rPr>
        <w:t>3</w:t>
      </w:r>
      <w:r w:rsidR="00044EFB">
        <w:t>.</w:t>
      </w:r>
      <w:r w:rsidR="00CB509B">
        <w:t xml:space="preserve"> </w:t>
      </w:r>
      <w:r w:rsidR="00F7369F">
        <w:t>Most burettes have a total volume of 50.00 cm</w:t>
      </w:r>
      <w:r w:rsidR="00F7369F" w:rsidRPr="00BC2F0A">
        <w:rPr>
          <w:vertAlign w:val="superscript"/>
        </w:rPr>
        <w:t>3</w:t>
      </w:r>
      <w:r w:rsidR="00F7369F">
        <w:t>.</w:t>
      </w:r>
      <w:r w:rsidR="00352484">
        <w:t xml:space="preserve"> </w:t>
      </w:r>
      <w:r w:rsidR="00BC2F0A">
        <w:t>You fill the burette</w:t>
      </w:r>
      <w:r w:rsidR="00044EFB">
        <w:t xml:space="preserve"> </w:t>
      </w:r>
      <w:r w:rsidR="00F7369F">
        <w:t>using</w:t>
      </w:r>
      <w:r w:rsidR="00044EFB">
        <w:t xml:space="preserve"> a funnel</w:t>
      </w:r>
      <w:r w:rsidR="00F7369F">
        <w:t xml:space="preserve">, then </w:t>
      </w:r>
      <w:r w:rsidR="00BC2F0A">
        <w:t>remove</w:t>
      </w:r>
      <w:r w:rsidR="00D3728B">
        <w:t xml:space="preserve"> the</w:t>
      </w:r>
      <w:r w:rsidR="00BC2F0A">
        <w:t xml:space="preserve"> funnel and </w:t>
      </w:r>
      <w:r w:rsidR="00F7369F">
        <w:t xml:space="preserve">let </w:t>
      </w:r>
      <w:r w:rsidR="00BC2F0A">
        <w:t xml:space="preserve">the solution </w:t>
      </w:r>
      <w:r w:rsidR="00F7369F">
        <w:t xml:space="preserve">down through the tap to fill the </w:t>
      </w:r>
      <w:r w:rsidR="00F7369F" w:rsidRPr="00AA4C61">
        <w:rPr>
          <w:b/>
          <w:bCs/>
        </w:rPr>
        <w:t>air</w:t>
      </w:r>
      <w:r w:rsidR="00391BE9">
        <w:rPr>
          <w:b/>
          <w:bCs/>
        </w:rPr>
        <w:t xml:space="preserve"> </w:t>
      </w:r>
      <w:r w:rsidR="00F7369F" w:rsidRPr="00AA4C61">
        <w:rPr>
          <w:b/>
          <w:bCs/>
        </w:rPr>
        <w:t>space</w:t>
      </w:r>
      <w:r w:rsidR="00F7369F">
        <w:t xml:space="preserve">. </w:t>
      </w:r>
      <w:r w:rsidR="00BC2F0A">
        <w:t>Read t</w:t>
      </w:r>
      <w:r w:rsidR="00F7369F">
        <w:t xml:space="preserve">he level of the </w:t>
      </w:r>
      <w:r w:rsidR="0092204B" w:rsidRPr="00AA4C61">
        <w:rPr>
          <w:b/>
          <w:bCs/>
        </w:rPr>
        <w:t>menisc</w:t>
      </w:r>
      <w:r w:rsidR="002314AF" w:rsidRPr="00AA4C61">
        <w:rPr>
          <w:b/>
          <w:bCs/>
        </w:rPr>
        <w:t>u</w:t>
      </w:r>
      <w:r w:rsidR="0092204B" w:rsidRPr="00AA4C61">
        <w:rPr>
          <w:b/>
          <w:bCs/>
        </w:rPr>
        <w:t>s</w:t>
      </w:r>
      <w:r w:rsidR="00F7369F">
        <w:t xml:space="preserve"> and note</w:t>
      </w:r>
      <w:r w:rsidR="00BC2F0A">
        <w:t xml:space="preserve"> it </w:t>
      </w:r>
      <w:r w:rsidR="00F7369F">
        <w:t xml:space="preserve">down. </w:t>
      </w:r>
    </w:p>
    <w:p w14:paraId="7C888C3F" w14:textId="19DDFD5D" w:rsidR="008C3E4D" w:rsidRDefault="008C3E4D" w:rsidP="008C3E4D">
      <w:pPr>
        <w:pStyle w:val="RSCH3"/>
      </w:pPr>
      <w:r>
        <w:t>Accuracy</w:t>
      </w:r>
    </w:p>
    <w:p w14:paraId="214862E6" w14:textId="589CFE2B" w:rsidR="008C3E4D" w:rsidRDefault="008C3E4D" w:rsidP="008C3E4D">
      <w:pPr>
        <w:pStyle w:val="RSCBasictext"/>
      </w:pPr>
      <w:bookmarkStart w:id="0" w:name="_Hlk162254407"/>
      <w:bookmarkStart w:id="1" w:name="_Hlk162254868"/>
      <w:r>
        <w:t>The 25 cm</w:t>
      </w:r>
      <w:r w:rsidRPr="0060474E">
        <w:rPr>
          <w:vertAlign w:val="superscript"/>
        </w:rPr>
        <w:t>3</w:t>
      </w:r>
      <w:r>
        <w:t xml:space="preserve"> </w:t>
      </w:r>
      <w:r w:rsidR="00200FB8" w:rsidRPr="00AA4C61">
        <w:rPr>
          <w:b/>
          <w:bCs/>
        </w:rPr>
        <w:t>volumetric</w:t>
      </w:r>
      <w:r w:rsidR="00200FB8">
        <w:t xml:space="preserve"> </w:t>
      </w:r>
      <w:r w:rsidRPr="00AA4C61">
        <w:rPr>
          <w:b/>
          <w:bCs/>
        </w:rPr>
        <w:t>pipettes</w:t>
      </w:r>
      <w:r>
        <w:t xml:space="preserve"> </w:t>
      </w:r>
      <w:r w:rsidR="00CB4204">
        <w:t>we use</w:t>
      </w:r>
      <w:r>
        <w:t xml:space="preserve"> in schools and colleges are grade B standard, which typically have an </w:t>
      </w:r>
      <w:r w:rsidRPr="00AA4C61">
        <w:t>accuracy</w:t>
      </w:r>
      <w:r>
        <w:t xml:space="preserve"> of ±0.6 cm</w:t>
      </w:r>
      <w:r w:rsidRPr="0060474E">
        <w:rPr>
          <w:vertAlign w:val="superscript"/>
        </w:rPr>
        <w:t>3</w:t>
      </w:r>
      <w:r>
        <w:t xml:space="preserve">. </w:t>
      </w:r>
      <w:bookmarkEnd w:id="0"/>
      <w:r>
        <w:t>This means that</w:t>
      </w:r>
      <w:r w:rsidR="00285406">
        <w:t>,</w:t>
      </w:r>
      <w:r>
        <w:t xml:space="preserve"> when used correctly</w:t>
      </w:r>
      <w:r w:rsidR="00285406">
        <w:t>,</w:t>
      </w:r>
      <w:r>
        <w:t xml:space="preserve"> the minimum volume delivered is 24.40 cm</w:t>
      </w:r>
      <w:r w:rsidRPr="0060474E">
        <w:rPr>
          <w:vertAlign w:val="superscript"/>
        </w:rPr>
        <w:t>3</w:t>
      </w:r>
      <w:r>
        <w:t xml:space="preserve"> and the maximum volume delivered is 25.60 cm</w:t>
      </w:r>
      <w:r w:rsidRPr="0060474E">
        <w:rPr>
          <w:vertAlign w:val="superscript"/>
        </w:rPr>
        <w:t>3</w:t>
      </w:r>
      <w:r>
        <w:t>.</w:t>
      </w:r>
    </w:p>
    <w:bookmarkEnd w:id="1"/>
    <w:p w14:paraId="0159BBCA" w14:textId="58465163" w:rsidR="00247E3A" w:rsidRDefault="00F7369F" w:rsidP="00364D56">
      <w:pPr>
        <w:pStyle w:val="RSCBasictext"/>
      </w:pPr>
      <w:r>
        <w:t xml:space="preserve">Each reading </w:t>
      </w:r>
      <w:r w:rsidR="00CB4204">
        <w:t xml:space="preserve">you take </w:t>
      </w:r>
      <w:r>
        <w:t xml:space="preserve">from a </w:t>
      </w:r>
      <w:r w:rsidRPr="00AA4C61">
        <w:rPr>
          <w:b/>
          <w:bCs/>
        </w:rPr>
        <w:t>burette</w:t>
      </w:r>
      <w:r>
        <w:t xml:space="preserve"> has an </w:t>
      </w:r>
      <w:r w:rsidRPr="0095613F">
        <w:t>accuracy</w:t>
      </w:r>
      <w:r>
        <w:t xml:space="preserve"> of ± 0.05 cm</w:t>
      </w:r>
      <w:r w:rsidRPr="00F7369F">
        <w:rPr>
          <w:vertAlign w:val="superscript"/>
        </w:rPr>
        <w:t>3</w:t>
      </w:r>
      <w:r>
        <w:t xml:space="preserve">. </w:t>
      </w:r>
      <w:r w:rsidR="00391BE9">
        <w:t>When you take</w:t>
      </w:r>
      <w:r>
        <w:t xml:space="preserve"> two readings, this accuracy is doubled. Because the volume delivered by the burette is variable, this accuracy has a bigger impact when </w:t>
      </w:r>
      <w:r w:rsidR="00F325CC">
        <w:t xml:space="preserve">you measure </w:t>
      </w:r>
      <w:r>
        <w:t xml:space="preserve">smaller volumes. This is clear when </w:t>
      </w:r>
      <w:r w:rsidR="00FD20C8">
        <w:t xml:space="preserve">the </w:t>
      </w:r>
      <w:r>
        <w:t xml:space="preserve">accuracy is expressed as a percentage.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536"/>
      </w:tblGrid>
      <w:tr w:rsidR="00C533D8" w:rsidRPr="00985C41" w14:paraId="1A5CDE35" w14:textId="77777777" w:rsidTr="00C533D8">
        <w:trPr>
          <w:trHeight w:val="482"/>
          <w:jc w:val="center"/>
        </w:trPr>
        <w:tc>
          <w:tcPr>
            <w:tcW w:w="4248" w:type="dxa"/>
            <w:shd w:val="clear" w:color="auto" w:fill="BFDDE8"/>
            <w:vAlign w:val="center"/>
          </w:tcPr>
          <w:p w14:paraId="6F53E12E" w14:textId="040AD20E" w:rsidR="00C533D8" w:rsidRPr="00E100EC" w:rsidRDefault="00C533D8" w:rsidP="00D120D4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Error in a titre of 10.50 cm</w:t>
            </w:r>
            <w:r w:rsidRPr="00C533D8">
              <w:rPr>
                <w:rFonts w:ascii="Century Gothic" w:hAnsi="Century Gothic"/>
                <w:b/>
                <w:bCs/>
                <w:color w:val="004976"/>
                <w:vertAlign w:val="superscript"/>
              </w:rPr>
              <w:t>3</w:t>
            </w:r>
          </w:p>
        </w:tc>
        <w:tc>
          <w:tcPr>
            <w:tcW w:w="4536" w:type="dxa"/>
            <w:shd w:val="clear" w:color="auto" w:fill="BFDDE8"/>
            <w:vAlign w:val="center"/>
          </w:tcPr>
          <w:p w14:paraId="7FF2A2CF" w14:textId="6D5D93E7" w:rsidR="00C533D8" w:rsidRPr="00E100EC" w:rsidRDefault="00C533D8" w:rsidP="00C533D8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Error in a titre of 25.75 cm</w:t>
            </w:r>
            <w:r w:rsidRPr="00C533D8">
              <w:rPr>
                <w:rFonts w:ascii="Century Gothic" w:hAnsi="Century Gothic"/>
                <w:b/>
                <w:bCs/>
                <w:color w:val="004976"/>
                <w:vertAlign w:val="superscript"/>
              </w:rPr>
              <w:t>3</w:t>
            </w:r>
          </w:p>
        </w:tc>
      </w:tr>
      <w:tr w:rsidR="00C533D8" w:rsidRPr="00985C41" w14:paraId="65ADBCD3" w14:textId="77777777" w:rsidTr="00C533D8">
        <w:trPr>
          <w:trHeight w:val="482"/>
          <w:jc w:val="center"/>
        </w:trPr>
        <w:tc>
          <w:tcPr>
            <w:tcW w:w="4248" w:type="dxa"/>
            <w:vAlign w:val="center"/>
          </w:tcPr>
          <w:p w14:paraId="6624415D" w14:textId="56ED9DA6" w:rsidR="00C533D8" w:rsidRPr="00C533D8" w:rsidRDefault="00C533D8" w:rsidP="00C533D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% error 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0.10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10.50</m:t>
                    </m:r>
                  </m:den>
                </m:f>
                <m:r>
                  <w:rPr>
                    <w:rFonts w:ascii="Cambria Math" w:hAnsi="Cambria Math"/>
                  </w:rPr>
                  <m:t>×100=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0.95%</m:t>
                </m:r>
              </m:oMath>
            </m:oMathPara>
          </w:p>
        </w:tc>
        <w:tc>
          <w:tcPr>
            <w:tcW w:w="4536" w:type="dxa"/>
            <w:vAlign w:val="center"/>
          </w:tcPr>
          <w:p w14:paraId="17EC7769" w14:textId="74C5D905" w:rsidR="00C533D8" w:rsidRPr="00985C41" w:rsidRDefault="00C533D8" w:rsidP="00D120D4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m:oMathPara>
              <m:oMath>
                <m:r>
                  <w:rPr>
                    <w:rFonts w:ascii="Cambria Math" w:hAnsi="Cambria Math"/>
                  </w:rPr>
                  <m:t>% error 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0.10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25.75</m:t>
                    </m:r>
                  </m:den>
                </m:f>
                <m:r>
                  <w:rPr>
                    <w:rFonts w:ascii="Cambria Math" w:hAnsi="Cambria Math"/>
                  </w:rPr>
                  <m:t>×100=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0.39%</m:t>
                </m:r>
              </m:oMath>
            </m:oMathPara>
          </w:p>
        </w:tc>
      </w:tr>
    </w:tbl>
    <w:p w14:paraId="5874959E" w14:textId="10D9E292" w:rsidR="00F7369F" w:rsidRDefault="00F7369F" w:rsidP="00364D56">
      <w:pPr>
        <w:pStyle w:val="RSCBasictext"/>
      </w:pPr>
    </w:p>
    <w:p w14:paraId="3B6D50FD" w14:textId="1029E2D4" w:rsidR="004574EC" w:rsidRDefault="004574EC" w:rsidP="00364D56">
      <w:pPr>
        <w:pStyle w:val="RSCBasictext"/>
      </w:pPr>
      <w:r>
        <w:t xml:space="preserve">Both </w:t>
      </w:r>
      <w:r w:rsidR="00E95ADE">
        <w:t>volumetric pipettes and burettes</w:t>
      </w:r>
      <w:r>
        <w:t xml:space="preserve"> are </w:t>
      </w:r>
      <w:r w:rsidRPr="00AA4C61">
        <w:rPr>
          <w:b/>
          <w:bCs/>
        </w:rPr>
        <w:t>more accurate</w:t>
      </w:r>
      <w:r>
        <w:t xml:space="preserve"> than more commonly used apparatus such as </w:t>
      </w:r>
      <w:r w:rsidRPr="00AA4C61">
        <w:rPr>
          <w:b/>
          <w:bCs/>
        </w:rPr>
        <w:t>measuring cylinders</w:t>
      </w:r>
      <w:r>
        <w:t xml:space="preserve">. </w:t>
      </w:r>
    </w:p>
    <w:p w14:paraId="0DA5E932" w14:textId="7AB974AC" w:rsidR="007B5F7E" w:rsidRDefault="007B5F7E" w:rsidP="00AA4C61">
      <w:pPr>
        <w:pStyle w:val="RSCH2"/>
      </w:pPr>
      <w:r>
        <w:t>Did you know</w:t>
      </w:r>
      <w:r w:rsidR="00C86784">
        <w:t xml:space="preserve"> …</w:t>
      </w:r>
      <w:r>
        <w:t>?</w:t>
      </w:r>
    </w:p>
    <w:p w14:paraId="01B94F12" w14:textId="77777777" w:rsidR="00D96FE6" w:rsidRDefault="007B5F7E" w:rsidP="00A74C21">
      <w:pPr>
        <w:pStyle w:val="RSCBasictext"/>
      </w:pPr>
      <w:r>
        <w:t>You don’t need to fill your burette to the 0.00 cm</w:t>
      </w:r>
      <w:r w:rsidRPr="00044EFB">
        <w:rPr>
          <w:vertAlign w:val="superscript"/>
        </w:rPr>
        <w:t>3</w:t>
      </w:r>
      <w:r>
        <w:t xml:space="preserve"> mark each time. </w:t>
      </w:r>
      <w:r w:rsidR="00181B96">
        <w:t xml:space="preserve">You can easily calculate </w:t>
      </w:r>
      <w:r w:rsidR="00D53CA1">
        <w:t xml:space="preserve">the volume delivered </w:t>
      </w:r>
      <w:r w:rsidR="00181B96">
        <w:t xml:space="preserve">by </w:t>
      </w:r>
      <w:r w:rsidR="00B91EF7">
        <w:t>subtracting the start reading from the end reading.</w:t>
      </w:r>
    </w:p>
    <w:p w14:paraId="535F22D8" w14:textId="77777777" w:rsidR="00D96FE6" w:rsidRDefault="00D96FE6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2FD19CED" w14:textId="515AA42C" w:rsidR="00FA4511" w:rsidRDefault="00D3728B" w:rsidP="00FA4511">
      <w:pPr>
        <w:pStyle w:val="RSCH2"/>
      </w:pPr>
      <w:r>
        <w:lastRenderedPageBreak/>
        <w:t>Apparatus h</w:t>
      </w:r>
      <w:r w:rsidR="00FA4511">
        <w:t xml:space="preserve">olding the solutions </w:t>
      </w:r>
    </w:p>
    <w:p w14:paraId="177E0572" w14:textId="0E451391" w:rsidR="00FA4511" w:rsidRDefault="00FA4511" w:rsidP="00FA4511">
      <w:pPr>
        <w:pStyle w:val="RSCBulletedlist"/>
      </w:pPr>
      <w:r w:rsidRPr="002D2E77">
        <w:rPr>
          <w:b/>
          <w:bCs/>
        </w:rPr>
        <w:t>Conical flask</w:t>
      </w:r>
      <w:r>
        <w:rPr>
          <w:b/>
          <w:bCs/>
        </w:rPr>
        <w:t>s</w:t>
      </w:r>
      <w:r w:rsidRPr="002D2E77">
        <w:rPr>
          <w:b/>
          <w:bCs/>
        </w:rPr>
        <w:t xml:space="preserve"> </w:t>
      </w:r>
      <w:r>
        <w:t>hold one of the reagent solutions</w:t>
      </w:r>
      <w:r w:rsidR="00212FA5">
        <w:t xml:space="preserve"> in a titration</w:t>
      </w:r>
      <w:r>
        <w:t xml:space="preserve">. </w:t>
      </w:r>
      <w:r w:rsidR="00212FA5">
        <w:t xml:space="preserve">They </w:t>
      </w:r>
      <w:r>
        <w:t xml:space="preserve">are a specific shape to make them easy to swirl, </w:t>
      </w:r>
      <w:r w:rsidR="00D9020F">
        <w:t xml:space="preserve">so you can </w:t>
      </w:r>
      <w:r>
        <w:t xml:space="preserve">mix solutions without any splashing out. </w:t>
      </w:r>
    </w:p>
    <w:p w14:paraId="58A3959E" w14:textId="6C5CCC5E" w:rsidR="00FA4511" w:rsidRDefault="00FA4511" w:rsidP="00FA4511">
      <w:pPr>
        <w:pStyle w:val="RSCBulletedlist"/>
      </w:pPr>
      <w:r w:rsidRPr="002D2E77">
        <w:rPr>
          <w:b/>
          <w:bCs/>
        </w:rPr>
        <w:t>Volumetric flask</w:t>
      </w:r>
      <w:r>
        <w:rPr>
          <w:b/>
          <w:bCs/>
        </w:rPr>
        <w:t>s</w:t>
      </w:r>
      <w:r w:rsidRPr="002D2E77">
        <w:rPr>
          <w:b/>
          <w:bCs/>
        </w:rPr>
        <w:t xml:space="preserve"> </w:t>
      </w:r>
      <w:r>
        <w:t xml:space="preserve">are specially shaped flasks </w:t>
      </w:r>
      <w:r w:rsidR="00BB1A42">
        <w:t xml:space="preserve">that you </w:t>
      </w:r>
      <w:r w:rsidR="007A06B1">
        <w:t xml:space="preserve">can </w:t>
      </w:r>
      <w:r w:rsidR="00BB1A42">
        <w:t>use</w:t>
      </w:r>
      <w:r>
        <w:t xml:space="preserve"> to make up solutions of specific concentrations. There is a fill mark on the neck of the flask which indicates the volume. </w:t>
      </w:r>
    </w:p>
    <w:p w14:paraId="039C17AA" w14:textId="77777777" w:rsidR="00FA4511" w:rsidRDefault="00FA4511" w:rsidP="00FA4511">
      <w:pPr>
        <w:pStyle w:val="RSCH2"/>
      </w:pPr>
      <w:r>
        <w:t>Did you know …?</w:t>
      </w:r>
    </w:p>
    <w:p w14:paraId="20A95547" w14:textId="26D0A16D" w:rsidR="007B5F7E" w:rsidRDefault="00FA4511" w:rsidP="00A74C21">
      <w:pPr>
        <w:pStyle w:val="RSCBasictext"/>
      </w:pPr>
      <w:r>
        <w:t xml:space="preserve">The earliest titration was reported in 1729! It’s an ancient technique but is still carried out in modern laboratories. </w:t>
      </w:r>
    </w:p>
    <w:p w14:paraId="79A89828" w14:textId="1A2A0732" w:rsidR="00044EFB" w:rsidRDefault="003C2E7E" w:rsidP="00C533D8">
      <w:pPr>
        <w:pStyle w:val="RSCH2"/>
      </w:pPr>
      <w:bookmarkStart w:id="2" w:name="_Hlk162254996"/>
      <w:r>
        <w:t>F</w:t>
      </w:r>
      <w:r w:rsidR="00C533D8">
        <w:t xml:space="preserve">inding </w:t>
      </w:r>
      <w:r w:rsidR="002A45F9">
        <w:t xml:space="preserve">the </w:t>
      </w:r>
      <w:r w:rsidR="00C533D8">
        <w:t>end</w:t>
      </w:r>
      <w:r w:rsidR="005E5EB2">
        <w:t xml:space="preserve"> </w:t>
      </w:r>
      <w:r w:rsidR="00C533D8">
        <w:t>point</w:t>
      </w:r>
    </w:p>
    <w:p w14:paraId="74A85897" w14:textId="37BD9103" w:rsidR="002A45F9" w:rsidRDefault="00C533D8" w:rsidP="00364D56">
      <w:pPr>
        <w:pStyle w:val="RSCBasictext"/>
      </w:pPr>
      <w:r>
        <w:t xml:space="preserve">In titration </w:t>
      </w:r>
      <w:r w:rsidR="00AA4C61">
        <w:t>the end point is</w:t>
      </w:r>
      <w:r w:rsidR="002A45F9">
        <w:t xml:space="preserve"> a complete reaction between the reactant solutions in the burette and </w:t>
      </w:r>
      <w:r w:rsidR="00C97DDE">
        <w:t xml:space="preserve">the </w:t>
      </w:r>
      <w:r w:rsidR="002A45F9">
        <w:t xml:space="preserve">conical flask. </w:t>
      </w:r>
      <w:r w:rsidR="0032159A">
        <w:t xml:space="preserve">You will often use an </w:t>
      </w:r>
      <w:r w:rsidR="002A45F9">
        <w:t xml:space="preserve">indicator </w:t>
      </w:r>
      <w:r w:rsidR="00AC3D04">
        <w:t xml:space="preserve">to give a colour change </w:t>
      </w:r>
      <w:r w:rsidR="002A45F9">
        <w:t xml:space="preserve">but some titrations are self-indicating. </w:t>
      </w:r>
    </w:p>
    <w:bookmarkEnd w:id="2"/>
    <w:p w14:paraId="702BBEAC" w14:textId="5E717D54" w:rsidR="002A45F9" w:rsidRDefault="002A45F9" w:rsidP="00AA4C61">
      <w:pPr>
        <w:pStyle w:val="RSCBulletedlist"/>
      </w:pPr>
      <w:r w:rsidRPr="004D2EDA">
        <w:rPr>
          <w:b/>
          <w:bCs/>
        </w:rPr>
        <w:t>Indicator bottle</w:t>
      </w:r>
      <w:r w:rsidR="00A71D14">
        <w:rPr>
          <w:b/>
          <w:bCs/>
        </w:rPr>
        <w:t>s</w:t>
      </w:r>
      <w:r w:rsidRPr="004D2EDA">
        <w:rPr>
          <w:b/>
          <w:bCs/>
        </w:rPr>
        <w:t xml:space="preserve"> </w:t>
      </w:r>
      <w:r w:rsidR="00B03610">
        <w:t xml:space="preserve">are fitted with a pipette cap to allow </w:t>
      </w:r>
      <w:r w:rsidR="00D64AB6">
        <w:t>you</w:t>
      </w:r>
      <w:r w:rsidR="00996D70">
        <w:t xml:space="preserve"> to add </w:t>
      </w:r>
      <w:r w:rsidR="003B499F">
        <w:t xml:space="preserve">one </w:t>
      </w:r>
      <w:r w:rsidR="00D423D3">
        <w:t>to</w:t>
      </w:r>
      <w:r w:rsidR="003B499F">
        <w:t xml:space="preserve"> two</w:t>
      </w:r>
      <w:r w:rsidR="00B03610">
        <w:t xml:space="preserve"> drops of indicator to the conical flask. </w:t>
      </w:r>
    </w:p>
    <w:p w14:paraId="30834F23" w14:textId="24E7DAE4" w:rsidR="002A45F9" w:rsidRDefault="005317EB" w:rsidP="00AA4C61">
      <w:pPr>
        <w:pStyle w:val="RSCBulletedlist"/>
      </w:pPr>
      <w:r w:rsidRPr="00AA4C61">
        <w:t>A</w:t>
      </w:r>
      <w:r>
        <w:rPr>
          <w:b/>
          <w:bCs/>
        </w:rPr>
        <w:t xml:space="preserve"> w</w:t>
      </w:r>
      <w:r w:rsidR="002A45F9" w:rsidRPr="004D2EDA">
        <w:rPr>
          <w:b/>
          <w:bCs/>
        </w:rPr>
        <w:t xml:space="preserve">hite tile </w:t>
      </w:r>
      <w:r w:rsidR="002A45F9">
        <w:t xml:space="preserve">provides a clean, bright background under the flask </w:t>
      </w:r>
      <w:r w:rsidR="0063193C">
        <w:t>so</w:t>
      </w:r>
      <w:r w:rsidR="002A45F9">
        <w:t xml:space="preserve"> </w:t>
      </w:r>
      <w:r w:rsidR="00E54DDE">
        <w:t>you</w:t>
      </w:r>
      <w:r w:rsidR="0063193C">
        <w:t xml:space="preserve"> can see </w:t>
      </w:r>
      <w:r w:rsidR="002A45F9">
        <w:t xml:space="preserve">subtle colour changes. </w:t>
      </w:r>
    </w:p>
    <w:p w14:paraId="45FEA324" w14:textId="606759CD" w:rsidR="00B03610" w:rsidRDefault="00E54DDE" w:rsidP="00AA4C61">
      <w:pPr>
        <w:pStyle w:val="RSCBulletedlist"/>
      </w:pPr>
      <w:r>
        <w:t>You use a</w:t>
      </w:r>
      <w:r w:rsidR="00B03610">
        <w:t xml:space="preserve"> </w:t>
      </w:r>
      <w:r w:rsidR="00A71D14" w:rsidRPr="00AA4C61">
        <w:rPr>
          <w:b/>
          <w:bCs/>
        </w:rPr>
        <w:t xml:space="preserve">wash </w:t>
      </w:r>
      <w:r w:rsidR="00B03610" w:rsidRPr="00AA4C61">
        <w:rPr>
          <w:b/>
          <w:bCs/>
        </w:rPr>
        <w:t>bottle</w:t>
      </w:r>
      <w:r w:rsidR="00B03610">
        <w:t xml:space="preserve"> of distilled water to </w:t>
      </w:r>
      <w:r w:rsidR="003D0694">
        <w:t xml:space="preserve">wash down the sides of the conical flask in case any drips </w:t>
      </w:r>
      <w:r w:rsidR="00EB30FA">
        <w:t>of reactant are</w:t>
      </w:r>
      <w:r w:rsidR="003D0694">
        <w:t xml:space="preserve"> stuck </w:t>
      </w:r>
      <w:r w:rsidR="00EB30FA">
        <w:t xml:space="preserve">to </w:t>
      </w:r>
      <w:r w:rsidR="003D0694">
        <w:t xml:space="preserve">the sides. Adding water doesn’t change the </w:t>
      </w:r>
      <w:r w:rsidR="000337B2">
        <w:t>results of the titration as you’re not adding any moles of reactant</w:t>
      </w:r>
      <w:r w:rsidR="004D2EDA">
        <w:t xml:space="preserve">, the water is just the solvent. </w:t>
      </w:r>
    </w:p>
    <w:p w14:paraId="588E637A" w14:textId="6D299C35" w:rsidR="003741FF" w:rsidRDefault="003741FF" w:rsidP="00AA4C61">
      <w:pPr>
        <w:pStyle w:val="RSCH2"/>
      </w:pPr>
      <w:r>
        <w:t>Did you know …?</w:t>
      </w:r>
    </w:p>
    <w:p w14:paraId="2DBA6A7B" w14:textId="43C0EC3C" w:rsidR="003741FF" w:rsidRDefault="003741FF" w:rsidP="003741FF">
      <w:pPr>
        <w:pStyle w:val="RSCBasictext"/>
      </w:pPr>
      <w:r>
        <w:t>Manual titrations can be time consuming</w:t>
      </w:r>
      <w:r w:rsidR="00D425D7">
        <w:t>,</w:t>
      </w:r>
      <w:r>
        <w:t xml:space="preserve"> so some simple titrations are </w:t>
      </w:r>
      <w:r w:rsidR="001104B4">
        <w:t>automated</w:t>
      </w:r>
      <w:r>
        <w:t>. However</w:t>
      </w:r>
      <w:r w:rsidR="00D425D7">
        <w:t>,</w:t>
      </w:r>
      <w:r>
        <w:t xml:space="preserve"> auto</w:t>
      </w:r>
      <w:r w:rsidR="00391BE9">
        <w:t>matic</w:t>
      </w:r>
      <w:r w:rsidR="00E138B5">
        <w:t xml:space="preserve"> </w:t>
      </w:r>
      <w:r>
        <w:t xml:space="preserve">titrators cost </w:t>
      </w:r>
      <w:r w:rsidR="00407A89">
        <w:t>from</w:t>
      </w:r>
      <w:r w:rsidR="001F3858">
        <w:t xml:space="preserve"> around</w:t>
      </w:r>
      <w:r>
        <w:t xml:space="preserve"> £1000 </w:t>
      </w:r>
      <w:r w:rsidR="00407A89">
        <w:t>to</w:t>
      </w:r>
      <w:r>
        <w:t xml:space="preserve"> </w:t>
      </w:r>
      <w:r w:rsidR="00407A89">
        <w:t>over</w:t>
      </w:r>
      <w:r>
        <w:t xml:space="preserve"> £10,000</w:t>
      </w:r>
      <w:r w:rsidR="001104B4">
        <w:t>,</w:t>
      </w:r>
      <w:r>
        <w:t xml:space="preserve"> so </w:t>
      </w:r>
      <w:r w:rsidR="00E250A8">
        <w:t>it’s</w:t>
      </w:r>
      <w:r w:rsidR="00547448">
        <w:t xml:space="preserve"> unlikely </w:t>
      </w:r>
      <w:r w:rsidR="00DC151A">
        <w:t>you’ll</w:t>
      </w:r>
      <w:r w:rsidR="00B75CEC">
        <w:t xml:space="preserve"> </w:t>
      </w:r>
      <w:r w:rsidR="00547448">
        <w:t xml:space="preserve">find one at </w:t>
      </w:r>
      <w:r w:rsidR="00754FAF">
        <w:t xml:space="preserve">a </w:t>
      </w:r>
      <w:r w:rsidR="00547448">
        <w:t>school</w:t>
      </w:r>
      <w:r w:rsidR="00391BE9">
        <w:t>.</w:t>
      </w:r>
      <w:r>
        <w:t xml:space="preserve">  </w:t>
      </w:r>
    </w:p>
    <w:p w14:paraId="292B82D9" w14:textId="64CF32D8" w:rsidR="00051D7E" w:rsidRPr="00B42F96" w:rsidRDefault="00051D7E" w:rsidP="00B42F96">
      <w:pPr>
        <w:outlineLvl w:val="9"/>
        <w:rPr>
          <w:rFonts w:ascii="Century Gothic" w:hAnsi="Century Gothic"/>
          <w:sz w:val="22"/>
          <w:szCs w:val="22"/>
        </w:rPr>
      </w:pPr>
    </w:p>
    <w:sectPr w:rsidR="00051D7E" w:rsidRPr="00B42F96" w:rsidSect="00157CFA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C181" w14:textId="77777777" w:rsidR="00157CFA" w:rsidRDefault="00157CFA" w:rsidP="00C51F51">
      <w:r>
        <w:separator/>
      </w:r>
    </w:p>
  </w:endnote>
  <w:endnote w:type="continuationSeparator" w:id="0">
    <w:p w14:paraId="4934BA1E" w14:textId="77777777" w:rsidR="00157CFA" w:rsidRDefault="00157CFA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2442DBA0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714DD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36B9" w14:textId="77777777" w:rsidR="00157CFA" w:rsidRDefault="00157CFA" w:rsidP="00C51F51">
      <w:r>
        <w:separator/>
      </w:r>
    </w:p>
  </w:footnote>
  <w:footnote w:type="continuationSeparator" w:id="0">
    <w:p w14:paraId="76DFF4DB" w14:textId="77777777" w:rsidR="00157CFA" w:rsidRDefault="00157CFA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705A8135" w:rsidR="003D4276" w:rsidRDefault="003305D3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6191" behindDoc="0" locked="0" layoutInCell="1" allowOverlap="1" wp14:anchorId="6B6BE617" wp14:editId="761D14C4">
          <wp:simplePos x="0" y="0"/>
          <wp:positionH relativeFrom="column">
            <wp:posOffset>-596900</wp:posOffset>
          </wp:positionH>
          <wp:positionV relativeFrom="page">
            <wp:posOffset>247650</wp:posOffset>
          </wp:positionV>
          <wp:extent cx="1938020" cy="520700"/>
          <wp:effectExtent l="0" t="0" r="0" b="0"/>
          <wp:wrapNone/>
          <wp:docPr id="1316099144" name="Picture 13160991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099144" name="Picture 13160991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276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257434DF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564390002" name="Picture 15643900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390002" name="Picture 156439000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675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 w:rsidR="003D4276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3D4276"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0D25751D" w:rsidR="003D4276" w:rsidRPr="00A56431" w:rsidRDefault="00A27356" w:rsidP="004E372A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D4276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3D4276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8859CA" w:rsidRPr="008859CA">
      <w:rPr>
        <w:rStyle w:val="Hyperlink"/>
        <w:rFonts w:ascii="Century Gothic" w:hAnsi="Century Gothic"/>
        <w:b/>
        <w:bCs/>
        <w:color w:val="004976"/>
        <w:sz w:val="18"/>
        <w:szCs w:val="18"/>
      </w:rPr>
      <w:t>rsc.li/4ddP1gp</w:t>
    </w:r>
    <w:r w:rsidR="008859CA">
      <w:rPr>
        <w:rStyle w:val="Hyperlink"/>
        <w:rFonts w:ascii="Century Gothic" w:hAnsi="Century Gothic"/>
        <w:b/>
        <w:bCs/>
        <w:color w:val="004976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14BF6"/>
    <w:multiLevelType w:val="hybridMultilevel"/>
    <w:tmpl w:val="9E8E4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76872">
    <w:abstractNumId w:val="0"/>
  </w:num>
  <w:num w:numId="2" w16cid:durableId="749421728">
    <w:abstractNumId w:val="4"/>
  </w:num>
  <w:num w:numId="3" w16cid:durableId="939026252">
    <w:abstractNumId w:val="9"/>
  </w:num>
  <w:num w:numId="4" w16cid:durableId="1444573029">
    <w:abstractNumId w:val="6"/>
  </w:num>
  <w:num w:numId="5" w16cid:durableId="109206190">
    <w:abstractNumId w:val="1"/>
  </w:num>
  <w:num w:numId="6" w16cid:durableId="821968132">
    <w:abstractNumId w:val="2"/>
  </w:num>
  <w:num w:numId="7" w16cid:durableId="1324427305">
    <w:abstractNumId w:val="2"/>
    <w:lvlOverride w:ilvl="0">
      <w:startOverride w:val="1"/>
    </w:lvlOverride>
  </w:num>
  <w:num w:numId="8" w16cid:durableId="1875925452">
    <w:abstractNumId w:val="5"/>
    <w:lvlOverride w:ilvl="0">
      <w:startOverride w:val="2"/>
    </w:lvlOverride>
  </w:num>
  <w:num w:numId="9" w16cid:durableId="610862974">
    <w:abstractNumId w:val="2"/>
    <w:lvlOverride w:ilvl="0">
      <w:startOverride w:val="1"/>
    </w:lvlOverride>
  </w:num>
  <w:num w:numId="10" w16cid:durableId="692650027">
    <w:abstractNumId w:val="3"/>
  </w:num>
  <w:num w:numId="11" w16cid:durableId="114298545">
    <w:abstractNumId w:val="3"/>
    <w:lvlOverride w:ilvl="0">
      <w:startOverride w:val="2"/>
    </w:lvlOverride>
  </w:num>
  <w:num w:numId="12" w16cid:durableId="523785215">
    <w:abstractNumId w:val="8"/>
  </w:num>
  <w:num w:numId="13" w16cid:durableId="412236989">
    <w:abstractNumId w:val="12"/>
  </w:num>
  <w:num w:numId="14" w16cid:durableId="1587377645">
    <w:abstractNumId w:val="3"/>
    <w:lvlOverride w:ilvl="0">
      <w:startOverride w:val="2"/>
    </w:lvlOverride>
  </w:num>
  <w:num w:numId="15" w16cid:durableId="1083452393">
    <w:abstractNumId w:val="2"/>
    <w:lvlOverride w:ilvl="0">
      <w:startOverride w:val="1"/>
    </w:lvlOverride>
  </w:num>
  <w:num w:numId="16" w16cid:durableId="1707365405">
    <w:abstractNumId w:val="3"/>
    <w:lvlOverride w:ilvl="0">
      <w:startOverride w:val="1"/>
    </w:lvlOverride>
  </w:num>
  <w:num w:numId="17" w16cid:durableId="829178666">
    <w:abstractNumId w:val="7"/>
  </w:num>
  <w:num w:numId="18" w16cid:durableId="1884516883">
    <w:abstractNumId w:val="11"/>
  </w:num>
  <w:num w:numId="19" w16cid:durableId="34321277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330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7B2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4E4"/>
    <w:rsid w:val="00044EFB"/>
    <w:rsid w:val="00047323"/>
    <w:rsid w:val="00051BF0"/>
    <w:rsid w:val="00051D7E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97228"/>
    <w:rsid w:val="000A031F"/>
    <w:rsid w:val="000A162C"/>
    <w:rsid w:val="000A1C7A"/>
    <w:rsid w:val="000A324B"/>
    <w:rsid w:val="000A6C0C"/>
    <w:rsid w:val="000B11A8"/>
    <w:rsid w:val="000B1952"/>
    <w:rsid w:val="000B310C"/>
    <w:rsid w:val="000B7817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E7559"/>
    <w:rsid w:val="000F1532"/>
    <w:rsid w:val="000F3C7E"/>
    <w:rsid w:val="000F4A39"/>
    <w:rsid w:val="000F6AAC"/>
    <w:rsid w:val="00100A13"/>
    <w:rsid w:val="00100FAB"/>
    <w:rsid w:val="001014CF"/>
    <w:rsid w:val="0010331C"/>
    <w:rsid w:val="00105608"/>
    <w:rsid w:val="001104B4"/>
    <w:rsid w:val="00110E34"/>
    <w:rsid w:val="001115A7"/>
    <w:rsid w:val="001119EE"/>
    <w:rsid w:val="00111BFB"/>
    <w:rsid w:val="00111C40"/>
    <w:rsid w:val="001131A2"/>
    <w:rsid w:val="0011632E"/>
    <w:rsid w:val="001228EC"/>
    <w:rsid w:val="00124DE7"/>
    <w:rsid w:val="00125301"/>
    <w:rsid w:val="0012670F"/>
    <w:rsid w:val="00131044"/>
    <w:rsid w:val="001315CA"/>
    <w:rsid w:val="00133888"/>
    <w:rsid w:val="00133A3E"/>
    <w:rsid w:val="0013731C"/>
    <w:rsid w:val="00143B23"/>
    <w:rsid w:val="00144CDA"/>
    <w:rsid w:val="0015105E"/>
    <w:rsid w:val="00154675"/>
    <w:rsid w:val="001547A9"/>
    <w:rsid w:val="00154EEB"/>
    <w:rsid w:val="00156282"/>
    <w:rsid w:val="00157CFA"/>
    <w:rsid w:val="00164B56"/>
    <w:rsid w:val="00170FA5"/>
    <w:rsid w:val="001714D0"/>
    <w:rsid w:val="0017750B"/>
    <w:rsid w:val="001806ED"/>
    <w:rsid w:val="00181990"/>
    <w:rsid w:val="00181B96"/>
    <w:rsid w:val="001831DC"/>
    <w:rsid w:val="001834F1"/>
    <w:rsid w:val="00184B61"/>
    <w:rsid w:val="00185427"/>
    <w:rsid w:val="00194F4B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0DAA"/>
    <w:rsid w:val="001C0FDD"/>
    <w:rsid w:val="001C1FA0"/>
    <w:rsid w:val="001C20DC"/>
    <w:rsid w:val="001C23F6"/>
    <w:rsid w:val="001C290F"/>
    <w:rsid w:val="001C6470"/>
    <w:rsid w:val="001D12BD"/>
    <w:rsid w:val="001D57A7"/>
    <w:rsid w:val="001D7B9F"/>
    <w:rsid w:val="001E2DA2"/>
    <w:rsid w:val="001F0451"/>
    <w:rsid w:val="001F2C34"/>
    <w:rsid w:val="001F3858"/>
    <w:rsid w:val="001F4A46"/>
    <w:rsid w:val="001F5394"/>
    <w:rsid w:val="001F6C46"/>
    <w:rsid w:val="001F73C1"/>
    <w:rsid w:val="00200439"/>
    <w:rsid w:val="00200FB8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2FA5"/>
    <w:rsid w:val="0021462B"/>
    <w:rsid w:val="00215CA2"/>
    <w:rsid w:val="0022129F"/>
    <w:rsid w:val="00221BC3"/>
    <w:rsid w:val="002220D3"/>
    <w:rsid w:val="00224D87"/>
    <w:rsid w:val="00227D80"/>
    <w:rsid w:val="002314AF"/>
    <w:rsid w:val="002345A4"/>
    <w:rsid w:val="0023518B"/>
    <w:rsid w:val="00237895"/>
    <w:rsid w:val="002401EA"/>
    <w:rsid w:val="00241B74"/>
    <w:rsid w:val="00242C8B"/>
    <w:rsid w:val="00242E6B"/>
    <w:rsid w:val="00243696"/>
    <w:rsid w:val="0024403F"/>
    <w:rsid w:val="002468BF"/>
    <w:rsid w:val="00246DA9"/>
    <w:rsid w:val="00247E3A"/>
    <w:rsid w:val="00247F5F"/>
    <w:rsid w:val="002510C3"/>
    <w:rsid w:val="0025661E"/>
    <w:rsid w:val="00267279"/>
    <w:rsid w:val="00267E57"/>
    <w:rsid w:val="002716EA"/>
    <w:rsid w:val="002723D5"/>
    <w:rsid w:val="00276F81"/>
    <w:rsid w:val="00280551"/>
    <w:rsid w:val="00281D7B"/>
    <w:rsid w:val="00283107"/>
    <w:rsid w:val="00285406"/>
    <w:rsid w:val="0028615D"/>
    <w:rsid w:val="00293322"/>
    <w:rsid w:val="002944CA"/>
    <w:rsid w:val="00295CA1"/>
    <w:rsid w:val="00296F91"/>
    <w:rsid w:val="002975B4"/>
    <w:rsid w:val="002A3B57"/>
    <w:rsid w:val="002A4174"/>
    <w:rsid w:val="002A45F9"/>
    <w:rsid w:val="002A4AD8"/>
    <w:rsid w:val="002A6FDE"/>
    <w:rsid w:val="002B22AE"/>
    <w:rsid w:val="002B28FD"/>
    <w:rsid w:val="002B4F41"/>
    <w:rsid w:val="002B5206"/>
    <w:rsid w:val="002B5EB5"/>
    <w:rsid w:val="002C0CFB"/>
    <w:rsid w:val="002C16FA"/>
    <w:rsid w:val="002C5391"/>
    <w:rsid w:val="002C5ED2"/>
    <w:rsid w:val="002C6D90"/>
    <w:rsid w:val="002C762B"/>
    <w:rsid w:val="002D20F2"/>
    <w:rsid w:val="002D2E77"/>
    <w:rsid w:val="002D4389"/>
    <w:rsid w:val="002D535D"/>
    <w:rsid w:val="002D5362"/>
    <w:rsid w:val="002D5DE5"/>
    <w:rsid w:val="002D7E38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2DDC"/>
    <w:rsid w:val="00314EDA"/>
    <w:rsid w:val="003161DC"/>
    <w:rsid w:val="00316479"/>
    <w:rsid w:val="00316B59"/>
    <w:rsid w:val="00320E4D"/>
    <w:rsid w:val="0032159A"/>
    <w:rsid w:val="003234B7"/>
    <w:rsid w:val="00324BA5"/>
    <w:rsid w:val="00325444"/>
    <w:rsid w:val="003305D3"/>
    <w:rsid w:val="003306A0"/>
    <w:rsid w:val="00330E9E"/>
    <w:rsid w:val="00331CCB"/>
    <w:rsid w:val="00331D3D"/>
    <w:rsid w:val="00334372"/>
    <w:rsid w:val="00334C46"/>
    <w:rsid w:val="0033529C"/>
    <w:rsid w:val="00336CB7"/>
    <w:rsid w:val="0034164F"/>
    <w:rsid w:val="0034189A"/>
    <w:rsid w:val="00342FEE"/>
    <w:rsid w:val="00343802"/>
    <w:rsid w:val="00344B7D"/>
    <w:rsid w:val="0034595D"/>
    <w:rsid w:val="00350232"/>
    <w:rsid w:val="00350520"/>
    <w:rsid w:val="00350B11"/>
    <w:rsid w:val="00352484"/>
    <w:rsid w:val="00357166"/>
    <w:rsid w:val="00363C2F"/>
    <w:rsid w:val="003642B4"/>
    <w:rsid w:val="00364D56"/>
    <w:rsid w:val="00367470"/>
    <w:rsid w:val="00367A2D"/>
    <w:rsid w:val="003741FF"/>
    <w:rsid w:val="00376E7E"/>
    <w:rsid w:val="003811A9"/>
    <w:rsid w:val="00383B18"/>
    <w:rsid w:val="003845BF"/>
    <w:rsid w:val="00391BE9"/>
    <w:rsid w:val="00392607"/>
    <w:rsid w:val="00393BD0"/>
    <w:rsid w:val="0039430F"/>
    <w:rsid w:val="003946FE"/>
    <w:rsid w:val="00394A9D"/>
    <w:rsid w:val="00395AD5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4870"/>
    <w:rsid w:val="003B499F"/>
    <w:rsid w:val="003C1583"/>
    <w:rsid w:val="003C19FC"/>
    <w:rsid w:val="003C1F78"/>
    <w:rsid w:val="003C2E7E"/>
    <w:rsid w:val="003C4116"/>
    <w:rsid w:val="003C51A9"/>
    <w:rsid w:val="003C5B91"/>
    <w:rsid w:val="003D0694"/>
    <w:rsid w:val="003D3DC2"/>
    <w:rsid w:val="003D4276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07A89"/>
    <w:rsid w:val="0041012C"/>
    <w:rsid w:val="00411F2B"/>
    <w:rsid w:val="00412411"/>
    <w:rsid w:val="004156B6"/>
    <w:rsid w:val="00415D5A"/>
    <w:rsid w:val="00417257"/>
    <w:rsid w:val="00420029"/>
    <w:rsid w:val="00421BF6"/>
    <w:rsid w:val="0042439D"/>
    <w:rsid w:val="0042523A"/>
    <w:rsid w:val="0042614E"/>
    <w:rsid w:val="004261BB"/>
    <w:rsid w:val="004265A5"/>
    <w:rsid w:val="004269A4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4A1"/>
    <w:rsid w:val="00447805"/>
    <w:rsid w:val="00451A34"/>
    <w:rsid w:val="0045569A"/>
    <w:rsid w:val="004574EC"/>
    <w:rsid w:val="00462C62"/>
    <w:rsid w:val="00463C7E"/>
    <w:rsid w:val="004647DD"/>
    <w:rsid w:val="00464DEB"/>
    <w:rsid w:val="00466E24"/>
    <w:rsid w:val="00470602"/>
    <w:rsid w:val="00470A3A"/>
    <w:rsid w:val="004710B0"/>
    <w:rsid w:val="0047293A"/>
    <w:rsid w:val="00472E80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489B"/>
    <w:rsid w:val="004C54E4"/>
    <w:rsid w:val="004C7173"/>
    <w:rsid w:val="004D038C"/>
    <w:rsid w:val="004D0DA6"/>
    <w:rsid w:val="004D2EDA"/>
    <w:rsid w:val="004D3C89"/>
    <w:rsid w:val="004D4D5D"/>
    <w:rsid w:val="004E1D97"/>
    <w:rsid w:val="004E283C"/>
    <w:rsid w:val="004E2D4A"/>
    <w:rsid w:val="004E35A4"/>
    <w:rsid w:val="004E372A"/>
    <w:rsid w:val="004E7DE0"/>
    <w:rsid w:val="004F1810"/>
    <w:rsid w:val="004F5789"/>
    <w:rsid w:val="004F6690"/>
    <w:rsid w:val="005000BF"/>
    <w:rsid w:val="0050206B"/>
    <w:rsid w:val="005031DB"/>
    <w:rsid w:val="00512EF1"/>
    <w:rsid w:val="005153EA"/>
    <w:rsid w:val="00517ED5"/>
    <w:rsid w:val="00522B05"/>
    <w:rsid w:val="00530A17"/>
    <w:rsid w:val="005317EB"/>
    <w:rsid w:val="005329C8"/>
    <w:rsid w:val="00533730"/>
    <w:rsid w:val="0053639C"/>
    <w:rsid w:val="0053797D"/>
    <w:rsid w:val="00546756"/>
    <w:rsid w:val="005468E5"/>
    <w:rsid w:val="00547448"/>
    <w:rsid w:val="00551D55"/>
    <w:rsid w:val="00554FEE"/>
    <w:rsid w:val="00561167"/>
    <w:rsid w:val="0056304F"/>
    <w:rsid w:val="0056464B"/>
    <w:rsid w:val="00566255"/>
    <w:rsid w:val="00570A3E"/>
    <w:rsid w:val="00571F1F"/>
    <w:rsid w:val="00572D9B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A7FF2"/>
    <w:rsid w:val="005B18A6"/>
    <w:rsid w:val="005B3BA5"/>
    <w:rsid w:val="005B4E8B"/>
    <w:rsid w:val="005B55F2"/>
    <w:rsid w:val="005C22B9"/>
    <w:rsid w:val="005C39AE"/>
    <w:rsid w:val="005C703B"/>
    <w:rsid w:val="005D0DB0"/>
    <w:rsid w:val="005D1E00"/>
    <w:rsid w:val="005D69D4"/>
    <w:rsid w:val="005D6A71"/>
    <w:rsid w:val="005E0657"/>
    <w:rsid w:val="005E5EB2"/>
    <w:rsid w:val="005F39DD"/>
    <w:rsid w:val="005F6D0F"/>
    <w:rsid w:val="0060019A"/>
    <w:rsid w:val="00601146"/>
    <w:rsid w:val="0060474E"/>
    <w:rsid w:val="006056F3"/>
    <w:rsid w:val="006078DB"/>
    <w:rsid w:val="006139A2"/>
    <w:rsid w:val="006148BB"/>
    <w:rsid w:val="006205A7"/>
    <w:rsid w:val="00620D37"/>
    <w:rsid w:val="006214EA"/>
    <w:rsid w:val="006216C4"/>
    <w:rsid w:val="0062375D"/>
    <w:rsid w:val="00624FB4"/>
    <w:rsid w:val="00625EAF"/>
    <w:rsid w:val="00626E9E"/>
    <w:rsid w:val="0063193C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5A3F"/>
    <w:rsid w:val="006D6201"/>
    <w:rsid w:val="006E3409"/>
    <w:rsid w:val="006E4016"/>
    <w:rsid w:val="006E41FE"/>
    <w:rsid w:val="006E6357"/>
    <w:rsid w:val="006F4590"/>
    <w:rsid w:val="006F5C85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107E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06CF"/>
    <w:rsid w:val="007337AE"/>
    <w:rsid w:val="00736435"/>
    <w:rsid w:val="00737567"/>
    <w:rsid w:val="00742794"/>
    <w:rsid w:val="00742E84"/>
    <w:rsid w:val="00751C1F"/>
    <w:rsid w:val="00752CBB"/>
    <w:rsid w:val="00753940"/>
    <w:rsid w:val="00754A45"/>
    <w:rsid w:val="00754FAF"/>
    <w:rsid w:val="00756B12"/>
    <w:rsid w:val="00760DE6"/>
    <w:rsid w:val="0076149C"/>
    <w:rsid w:val="00763DA3"/>
    <w:rsid w:val="007730DE"/>
    <w:rsid w:val="0077448E"/>
    <w:rsid w:val="00775411"/>
    <w:rsid w:val="0077545E"/>
    <w:rsid w:val="00776C72"/>
    <w:rsid w:val="00776FB7"/>
    <w:rsid w:val="007777A2"/>
    <w:rsid w:val="00783478"/>
    <w:rsid w:val="00786966"/>
    <w:rsid w:val="00787796"/>
    <w:rsid w:val="0079329D"/>
    <w:rsid w:val="007934DC"/>
    <w:rsid w:val="00794D42"/>
    <w:rsid w:val="007962B0"/>
    <w:rsid w:val="007A02F3"/>
    <w:rsid w:val="007A06B1"/>
    <w:rsid w:val="007A084A"/>
    <w:rsid w:val="007A1A13"/>
    <w:rsid w:val="007A486B"/>
    <w:rsid w:val="007A726C"/>
    <w:rsid w:val="007B34C5"/>
    <w:rsid w:val="007B5F7E"/>
    <w:rsid w:val="007B6138"/>
    <w:rsid w:val="007C0783"/>
    <w:rsid w:val="007C0B91"/>
    <w:rsid w:val="007C3791"/>
    <w:rsid w:val="007C55A5"/>
    <w:rsid w:val="007C6931"/>
    <w:rsid w:val="007D0F4E"/>
    <w:rsid w:val="007D1674"/>
    <w:rsid w:val="007D1806"/>
    <w:rsid w:val="007D19C1"/>
    <w:rsid w:val="007D2B41"/>
    <w:rsid w:val="007D2F67"/>
    <w:rsid w:val="007D3761"/>
    <w:rsid w:val="007D6153"/>
    <w:rsid w:val="007E109C"/>
    <w:rsid w:val="007E1DEC"/>
    <w:rsid w:val="007E35D3"/>
    <w:rsid w:val="007E3D38"/>
    <w:rsid w:val="007F374B"/>
    <w:rsid w:val="007F4099"/>
    <w:rsid w:val="007F76F2"/>
    <w:rsid w:val="00802588"/>
    <w:rsid w:val="00805373"/>
    <w:rsid w:val="00806C05"/>
    <w:rsid w:val="00810732"/>
    <w:rsid w:val="00812B52"/>
    <w:rsid w:val="008145E1"/>
    <w:rsid w:val="0081506D"/>
    <w:rsid w:val="0081598F"/>
    <w:rsid w:val="00822C62"/>
    <w:rsid w:val="00823831"/>
    <w:rsid w:val="00827AA1"/>
    <w:rsid w:val="00827C7D"/>
    <w:rsid w:val="00831056"/>
    <w:rsid w:val="0083123F"/>
    <w:rsid w:val="00834B9F"/>
    <w:rsid w:val="00834BCA"/>
    <w:rsid w:val="00835799"/>
    <w:rsid w:val="008359CE"/>
    <w:rsid w:val="00837431"/>
    <w:rsid w:val="0084146F"/>
    <w:rsid w:val="00841525"/>
    <w:rsid w:val="008441AD"/>
    <w:rsid w:val="00844518"/>
    <w:rsid w:val="008618F3"/>
    <w:rsid w:val="0086417A"/>
    <w:rsid w:val="0086581C"/>
    <w:rsid w:val="00872501"/>
    <w:rsid w:val="00872E43"/>
    <w:rsid w:val="00873024"/>
    <w:rsid w:val="00873625"/>
    <w:rsid w:val="00881419"/>
    <w:rsid w:val="00882CA3"/>
    <w:rsid w:val="00883973"/>
    <w:rsid w:val="00884C77"/>
    <w:rsid w:val="00884F27"/>
    <w:rsid w:val="008859CA"/>
    <w:rsid w:val="00887802"/>
    <w:rsid w:val="00893418"/>
    <w:rsid w:val="008940CB"/>
    <w:rsid w:val="008960EA"/>
    <w:rsid w:val="008969E1"/>
    <w:rsid w:val="008A6BC0"/>
    <w:rsid w:val="008B0123"/>
    <w:rsid w:val="008B01BB"/>
    <w:rsid w:val="008B4593"/>
    <w:rsid w:val="008B62E8"/>
    <w:rsid w:val="008B6EC7"/>
    <w:rsid w:val="008B72CB"/>
    <w:rsid w:val="008C13BC"/>
    <w:rsid w:val="008C37A8"/>
    <w:rsid w:val="008C3E4D"/>
    <w:rsid w:val="008D00C8"/>
    <w:rsid w:val="008D15AE"/>
    <w:rsid w:val="008D1AC1"/>
    <w:rsid w:val="008D3B2C"/>
    <w:rsid w:val="008D3D47"/>
    <w:rsid w:val="008D4279"/>
    <w:rsid w:val="008D4819"/>
    <w:rsid w:val="008D6721"/>
    <w:rsid w:val="008E0FBF"/>
    <w:rsid w:val="008E1DEA"/>
    <w:rsid w:val="008E3571"/>
    <w:rsid w:val="008E4875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7671"/>
    <w:rsid w:val="00907BE0"/>
    <w:rsid w:val="00911E97"/>
    <w:rsid w:val="009159E7"/>
    <w:rsid w:val="00916660"/>
    <w:rsid w:val="00916DC6"/>
    <w:rsid w:val="0092204B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28A6"/>
    <w:rsid w:val="0095613F"/>
    <w:rsid w:val="00957167"/>
    <w:rsid w:val="00957209"/>
    <w:rsid w:val="009602A8"/>
    <w:rsid w:val="00962BB5"/>
    <w:rsid w:val="00964B17"/>
    <w:rsid w:val="009652C2"/>
    <w:rsid w:val="00965A3E"/>
    <w:rsid w:val="00967A08"/>
    <w:rsid w:val="00970684"/>
    <w:rsid w:val="009712BA"/>
    <w:rsid w:val="00972EF7"/>
    <w:rsid w:val="00973999"/>
    <w:rsid w:val="0097428A"/>
    <w:rsid w:val="00977F7E"/>
    <w:rsid w:val="009816ED"/>
    <w:rsid w:val="00985810"/>
    <w:rsid w:val="00985C41"/>
    <w:rsid w:val="00991AFD"/>
    <w:rsid w:val="00996D70"/>
    <w:rsid w:val="009A0229"/>
    <w:rsid w:val="009A1C92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0656"/>
    <w:rsid w:val="009F3D94"/>
    <w:rsid w:val="009F524A"/>
    <w:rsid w:val="009F625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5BC7"/>
    <w:rsid w:val="00A26DD8"/>
    <w:rsid w:val="00A27356"/>
    <w:rsid w:val="00A313DA"/>
    <w:rsid w:val="00A31E3F"/>
    <w:rsid w:val="00A31F46"/>
    <w:rsid w:val="00A33366"/>
    <w:rsid w:val="00A356F4"/>
    <w:rsid w:val="00A41118"/>
    <w:rsid w:val="00A429D0"/>
    <w:rsid w:val="00A43986"/>
    <w:rsid w:val="00A4551D"/>
    <w:rsid w:val="00A4560F"/>
    <w:rsid w:val="00A52872"/>
    <w:rsid w:val="00A52FD2"/>
    <w:rsid w:val="00A56431"/>
    <w:rsid w:val="00A56E37"/>
    <w:rsid w:val="00A61142"/>
    <w:rsid w:val="00A61887"/>
    <w:rsid w:val="00A61936"/>
    <w:rsid w:val="00A64FFF"/>
    <w:rsid w:val="00A718A4"/>
    <w:rsid w:val="00A71D14"/>
    <w:rsid w:val="00A72D0D"/>
    <w:rsid w:val="00A74C21"/>
    <w:rsid w:val="00A77018"/>
    <w:rsid w:val="00A820A2"/>
    <w:rsid w:val="00A8366D"/>
    <w:rsid w:val="00A84A57"/>
    <w:rsid w:val="00A85F0D"/>
    <w:rsid w:val="00A9685B"/>
    <w:rsid w:val="00A9702B"/>
    <w:rsid w:val="00A976F6"/>
    <w:rsid w:val="00AA1AEA"/>
    <w:rsid w:val="00AA2E28"/>
    <w:rsid w:val="00AA2FE1"/>
    <w:rsid w:val="00AA450F"/>
    <w:rsid w:val="00AA4C61"/>
    <w:rsid w:val="00AB15C9"/>
    <w:rsid w:val="00AB45ED"/>
    <w:rsid w:val="00AB5671"/>
    <w:rsid w:val="00AC0E6D"/>
    <w:rsid w:val="00AC224E"/>
    <w:rsid w:val="00AC2A77"/>
    <w:rsid w:val="00AC3D04"/>
    <w:rsid w:val="00AC4A48"/>
    <w:rsid w:val="00AC5904"/>
    <w:rsid w:val="00AC7F9C"/>
    <w:rsid w:val="00AD26EE"/>
    <w:rsid w:val="00AD3139"/>
    <w:rsid w:val="00AD4C44"/>
    <w:rsid w:val="00AE2097"/>
    <w:rsid w:val="00AE36DC"/>
    <w:rsid w:val="00AE6B2C"/>
    <w:rsid w:val="00AE7272"/>
    <w:rsid w:val="00AF2C18"/>
    <w:rsid w:val="00B000E3"/>
    <w:rsid w:val="00B01D70"/>
    <w:rsid w:val="00B034F8"/>
    <w:rsid w:val="00B03610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2614"/>
    <w:rsid w:val="00B25119"/>
    <w:rsid w:val="00B263FE"/>
    <w:rsid w:val="00B2651F"/>
    <w:rsid w:val="00B2754E"/>
    <w:rsid w:val="00B30437"/>
    <w:rsid w:val="00B31B7C"/>
    <w:rsid w:val="00B327D7"/>
    <w:rsid w:val="00B32FC6"/>
    <w:rsid w:val="00B366E9"/>
    <w:rsid w:val="00B41519"/>
    <w:rsid w:val="00B4299A"/>
    <w:rsid w:val="00B42F35"/>
    <w:rsid w:val="00B42F96"/>
    <w:rsid w:val="00B4519D"/>
    <w:rsid w:val="00B46E49"/>
    <w:rsid w:val="00B57295"/>
    <w:rsid w:val="00B572D8"/>
    <w:rsid w:val="00B65C61"/>
    <w:rsid w:val="00B66E80"/>
    <w:rsid w:val="00B7153D"/>
    <w:rsid w:val="00B71721"/>
    <w:rsid w:val="00B71832"/>
    <w:rsid w:val="00B7501D"/>
    <w:rsid w:val="00B75CEC"/>
    <w:rsid w:val="00B76FDA"/>
    <w:rsid w:val="00B82B0C"/>
    <w:rsid w:val="00B83328"/>
    <w:rsid w:val="00B85BD9"/>
    <w:rsid w:val="00B86120"/>
    <w:rsid w:val="00B86A95"/>
    <w:rsid w:val="00B9142C"/>
    <w:rsid w:val="00B91E97"/>
    <w:rsid w:val="00B91EF7"/>
    <w:rsid w:val="00BA0095"/>
    <w:rsid w:val="00BA183F"/>
    <w:rsid w:val="00BA359E"/>
    <w:rsid w:val="00BA72E3"/>
    <w:rsid w:val="00BB1A42"/>
    <w:rsid w:val="00BB2A22"/>
    <w:rsid w:val="00BB32CC"/>
    <w:rsid w:val="00BB5AE5"/>
    <w:rsid w:val="00BC1746"/>
    <w:rsid w:val="00BC2F0A"/>
    <w:rsid w:val="00BC3844"/>
    <w:rsid w:val="00BD000A"/>
    <w:rsid w:val="00BD004E"/>
    <w:rsid w:val="00BD1046"/>
    <w:rsid w:val="00BD18F5"/>
    <w:rsid w:val="00BD2A7F"/>
    <w:rsid w:val="00BD2C74"/>
    <w:rsid w:val="00BD415C"/>
    <w:rsid w:val="00BD6B2B"/>
    <w:rsid w:val="00BD746F"/>
    <w:rsid w:val="00BE3757"/>
    <w:rsid w:val="00BE79AF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F5A"/>
    <w:rsid w:val="00C2398C"/>
    <w:rsid w:val="00C316A0"/>
    <w:rsid w:val="00C35538"/>
    <w:rsid w:val="00C37007"/>
    <w:rsid w:val="00C44E45"/>
    <w:rsid w:val="00C45CA1"/>
    <w:rsid w:val="00C46131"/>
    <w:rsid w:val="00C47043"/>
    <w:rsid w:val="00C5095F"/>
    <w:rsid w:val="00C51F51"/>
    <w:rsid w:val="00C533D8"/>
    <w:rsid w:val="00C5416B"/>
    <w:rsid w:val="00C55994"/>
    <w:rsid w:val="00C57943"/>
    <w:rsid w:val="00C6382F"/>
    <w:rsid w:val="00C64140"/>
    <w:rsid w:val="00C663C0"/>
    <w:rsid w:val="00C665FB"/>
    <w:rsid w:val="00C67207"/>
    <w:rsid w:val="00C76645"/>
    <w:rsid w:val="00C8107F"/>
    <w:rsid w:val="00C8199C"/>
    <w:rsid w:val="00C84AFB"/>
    <w:rsid w:val="00C86784"/>
    <w:rsid w:val="00C87965"/>
    <w:rsid w:val="00C9096E"/>
    <w:rsid w:val="00C925EA"/>
    <w:rsid w:val="00C92F17"/>
    <w:rsid w:val="00C97DDE"/>
    <w:rsid w:val="00CA0E16"/>
    <w:rsid w:val="00CA4FE9"/>
    <w:rsid w:val="00CA5099"/>
    <w:rsid w:val="00CA6A3E"/>
    <w:rsid w:val="00CA7FD5"/>
    <w:rsid w:val="00CB10F6"/>
    <w:rsid w:val="00CB1BE1"/>
    <w:rsid w:val="00CB4204"/>
    <w:rsid w:val="00CB509B"/>
    <w:rsid w:val="00CB6529"/>
    <w:rsid w:val="00CB6E4B"/>
    <w:rsid w:val="00CC4195"/>
    <w:rsid w:val="00CC61AC"/>
    <w:rsid w:val="00CD2F1B"/>
    <w:rsid w:val="00CD426D"/>
    <w:rsid w:val="00CD5DAF"/>
    <w:rsid w:val="00CD645A"/>
    <w:rsid w:val="00CE0E23"/>
    <w:rsid w:val="00CE44F4"/>
    <w:rsid w:val="00CE475E"/>
    <w:rsid w:val="00CF0F9A"/>
    <w:rsid w:val="00CF1D2C"/>
    <w:rsid w:val="00CF2277"/>
    <w:rsid w:val="00CF3377"/>
    <w:rsid w:val="00CF560A"/>
    <w:rsid w:val="00CF6B40"/>
    <w:rsid w:val="00D025E5"/>
    <w:rsid w:val="00D036D2"/>
    <w:rsid w:val="00D03D0E"/>
    <w:rsid w:val="00D046A0"/>
    <w:rsid w:val="00D046E5"/>
    <w:rsid w:val="00D050E0"/>
    <w:rsid w:val="00D065E2"/>
    <w:rsid w:val="00D07A39"/>
    <w:rsid w:val="00D101AF"/>
    <w:rsid w:val="00D16DE6"/>
    <w:rsid w:val="00D231B7"/>
    <w:rsid w:val="00D23D50"/>
    <w:rsid w:val="00D2480A"/>
    <w:rsid w:val="00D2645E"/>
    <w:rsid w:val="00D2698B"/>
    <w:rsid w:val="00D27CD3"/>
    <w:rsid w:val="00D27F3C"/>
    <w:rsid w:val="00D32C6A"/>
    <w:rsid w:val="00D3728B"/>
    <w:rsid w:val="00D40C68"/>
    <w:rsid w:val="00D41DF1"/>
    <w:rsid w:val="00D423D3"/>
    <w:rsid w:val="00D425D7"/>
    <w:rsid w:val="00D470EA"/>
    <w:rsid w:val="00D5133A"/>
    <w:rsid w:val="00D537DB"/>
    <w:rsid w:val="00D53CA1"/>
    <w:rsid w:val="00D54DC2"/>
    <w:rsid w:val="00D5521B"/>
    <w:rsid w:val="00D56520"/>
    <w:rsid w:val="00D634AE"/>
    <w:rsid w:val="00D64AB6"/>
    <w:rsid w:val="00D714DD"/>
    <w:rsid w:val="00D7317E"/>
    <w:rsid w:val="00D75788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020F"/>
    <w:rsid w:val="00D91488"/>
    <w:rsid w:val="00D96FE6"/>
    <w:rsid w:val="00DA4E14"/>
    <w:rsid w:val="00DB0C47"/>
    <w:rsid w:val="00DB2CBD"/>
    <w:rsid w:val="00DB59CE"/>
    <w:rsid w:val="00DB7804"/>
    <w:rsid w:val="00DC151A"/>
    <w:rsid w:val="00DC441E"/>
    <w:rsid w:val="00DC46B8"/>
    <w:rsid w:val="00DC4B5C"/>
    <w:rsid w:val="00DC533A"/>
    <w:rsid w:val="00DC6C6B"/>
    <w:rsid w:val="00DC79B4"/>
    <w:rsid w:val="00DC7E1E"/>
    <w:rsid w:val="00DD042B"/>
    <w:rsid w:val="00DD3A79"/>
    <w:rsid w:val="00DD3AB3"/>
    <w:rsid w:val="00DD4B32"/>
    <w:rsid w:val="00DD638A"/>
    <w:rsid w:val="00DE08BF"/>
    <w:rsid w:val="00DF1B6E"/>
    <w:rsid w:val="00DF4D09"/>
    <w:rsid w:val="00DF5415"/>
    <w:rsid w:val="00DF5545"/>
    <w:rsid w:val="00DF5D59"/>
    <w:rsid w:val="00E02057"/>
    <w:rsid w:val="00E03659"/>
    <w:rsid w:val="00E04231"/>
    <w:rsid w:val="00E100EC"/>
    <w:rsid w:val="00E13686"/>
    <w:rsid w:val="00E138B5"/>
    <w:rsid w:val="00E2490B"/>
    <w:rsid w:val="00E250A8"/>
    <w:rsid w:val="00E25B03"/>
    <w:rsid w:val="00E32B43"/>
    <w:rsid w:val="00E36242"/>
    <w:rsid w:val="00E36424"/>
    <w:rsid w:val="00E368F5"/>
    <w:rsid w:val="00E373D4"/>
    <w:rsid w:val="00E409BE"/>
    <w:rsid w:val="00E42DB3"/>
    <w:rsid w:val="00E454BB"/>
    <w:rsid w:val="00E47BD0"/>
    <w:rsid w:val="00E47E4D"/>
    <w:rsid w:val="00E50A8B"/>
    <w:rsid w:val="00E51E7E"/>
    <w:rsid w:val="00E54DDE"/>
    <w:rsid w:val="00E56065"/>
    <w:rsid w:val="00E60944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2F7C"/>
    <w:rsid w:val="00E848CD"/>
    <w:rsid w:val="00E855C3"/>
    <w:rsid w:val="00E93B28"/>
    <w:rsid w:val="00E95ADE"/>
    <w:rsid w:val="00E96357"/>
    <w:rsid w:val="00E97F9A"/>
    <w:rsid w:val="00EA2A0E"/>
    <w:rsid w:val="00EA6986"/>
    <w:rsid w:val="00EA6CA2"/>
    <w:rsid w:val="00EB0179"/>
    <w:rsid w:val="00EB1F20"/>
    <w:rsid w:val="00EB30FA"/>
    <w:rsid w:val="00EB344E"/>
    <w:rsid w:val="00EB4A84"/>
    <w:rsid w:val="00EB6460"/>
    <w:rsid w:val="00EB6E94"/>
    <w:rsid w:val="00EB74F5"/>
    <w:rsid w:val="00EC06B6"/>
    <w:rsid w:val="00EC1000"/>
    <w:rsid w:val="00EC22B0"/>
    <w:rsid w:val="00EC36F7"/>
    <w:rsid w:val="00EC7D8F"/>
    <w:rsid w:val="00ED24AD"/>
    <w:rsid w:val="00ED280A"/>
    <w:rsid w:val="00ED3C6B"/>
    <w:rsid w:val="00ED5EEE"/>
    <w:rsid w:val="00ED7B5C"/>
    <w:rsid w:val="00EE1FEE"/>
    <w:rsid w:val="00EE57F5"/>
    <w:rsid w:val="00EF036B"/>
    <w:rsid w:val="00EF067C"/>
    <w:rsid w:val="00EF1DB2"/>
    <w:rsid w:val="00EF3A02"/>
    <w:rsid w:val="00EF7364"/>
    <w:rsid w:val="00F00B0D"/>
    <w:rsid w:val="00F023F4"/>
    <w:rsid w:val="00F0720C"/>
    <w:rsid w:val="00F1032B"/>
    <w:rsid w:val="00F10C80"/>
    <w:rsid w:val="00F21826"/>
    <w:rsid w:val="00F22856"/>
    <w:rsid w:val="00F2296C"/>
    <w:rsid w:val="00F30A9F"/>
    <w:rsid w:val="00F31BB0"/>
    <w:rsid w:val="00F325CC"/>
    <w:rsid w:val="00F368BC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6FD5"/>
    <w:rsid w:val="00F67345"/>
    <w:rsid w:val="00F708BD"/>
    <w:rsid w:val="00F70F0D"/>
    <w:rsid w:val="00F7369F"/>
    <w:rsid w:val="00F75DB5"/>
    <w:rsid w:val="00F80A54"/>
    <w:rsid w:val="00F810F5"/>
    <w:rsid w:val="00F84A48"/>
    <w:rsid w:val="00F85F01"/>
    <w:rsid w:val="00F865ED"/>
    <w:rsid w:val="00F868EA"/>
    <w:rsid w:val="00F93494"/>
    <w:rsid w:val="00F937DA"/>
    <w:rsid w:val="00F94325"/>
    <w:rsid w:val="00F948E0"/>
    <w:rsid w:val="00F96EF2"/>
    <w:rsid w:val="00FA3E28"/>
    <w:rsid w:val="00FA4511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C8"/>
    <w:rsid w:val="00FD57B5"/>
    <w:rsid w:val="00FE245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533D8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7877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779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8779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7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7796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463C7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a9c5b8cb-8b3b-4b00-8e13-e0891dd65cf1"/>
    <ds:schemaRef ds:uri="http://schemas.microsoft.com/office/infopath/2007/PartnerControls"/>
    <ds:schemaRef ds:uri="http://schemas.microsoft.com/office/2006/documentManagement/types"/>
    <ds:schemaRef ds:uri="http://purl.org/dc/terms/"/>
    <ds:schemaRef ds:uri="c4a1134a-ec95-48d0-8411-392686591e1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46</TotalTime>
  <Pages>2</Pages>
  <Words>568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to grips with titration</vt:lpstr>
    </vt:vector>
  </TitlesOfParts>
  <Manager/>
  <Company>Royal Society of Chemistry</Company>
  <LinksUpToDate>false</LinksUpToDate>
  <CharactersWithSpaces>3312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grips with titration</dc:title>
  <dc:subject/>
  <dc:creator>Royal Society Of Chemistry</dc:creator>
  <cp:keywords>titration, accuracy, practical, redox, burette</cp:keywords>
  <dc:description>From Get to grips with titration, Education in Chemistry, rsc.li/4ddP1gp</dc:description>
  <cp:lastModifiedBy>Lisa Clatworthy</cp:lastModifiedBy>
  <cp:revision>8</cp:revision>
  <cp:lastPrinted>2012-04-18T08:40:00Z</cp:lastPrinted>
  <dcterms:created xsi:type="dcterms:W3CDTF">2024-03-11T16:44:00Z</dcterms:created>
  <dcterms:modified xsi:type="dcterms:W3CDTF">2024-05-07T07:28:00Z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