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74B6D385" w:rsidR="00FD0B10" w:rsidRPr="00FD0B10" w:rsidRDefault="000410C6" w:rsidP="00FD0B10">
      <w:pPr>
        <w:pStyle w:val="Heading1"/>
      </w:pPr>
      <w:r>
        <w:t>Complete teaching ideas</w:t>
      </w:r>
    </w:p>
    <w:p w14:paraId="25A48CA4" w14:textId="3568F9D3" w:rsidR="008F4156" w:rsidRDefault="009875B2" w:rsidP="008F4156">
      <w:pPr>
        <w:pStyle w:val="Leadparagraph"/>
        <w:rPr>
          <w:b w:val="0"/>
        </w:rPr>
      </w:pPr>
      <w:r w:rsidRPr="009875B2">
        <w:rPr>
          <w:rStyle w:val="LeadparagraphChar"/>
          <w:b/>
          <w:i/>
        </w:rPr>
        <w:t>Education in Chemistry</w:t>
      </w:r>
      <w:r>
        <w:rPr>
          <w:rStyle w:val="LeadparagraphChar"/>
          <w:b/>
        </w:rPr>
        <w:br/>
      </w:r>
      <w:r w:rsidR="00F01FF5">
        <w:rPr>
          <w:rStyle w:val="LeadparagraphChar"/>
        </w:rPr>
        <w:t>July</w:t>
      </w:r>
      <w:r w:rsidR="0080030A">
        <w:rPr>
          <w:rStyle w:val="LeadparagraphChar"/>
        </w:rPr>
        <w:t xml:space="preserve"> 2018</w:t>
      </w:r>
      <w:r>
        <w:rPr>
          <w:rStyle w:val="LeadparagraphChar"/>
          <w:b/>
        </w:rPr>
        <w:br/>
      </w:r>
      <w:hyperlink r:id="rId10" w:history="1">
        <w:r w:rsidR="006B0994" w:rsidRPr="00972F2C">
          <w:rPr>
            <w:rStyle w:val="Hyperlink"/>
            <w:b w:val="0"/>
          </w:rPr>
          <w:t>rsc.li/2JbAXsJ</w:t>
        </w:r>
      </w:hyperlink>
      <w:r w:rsidR="006B0994" w:rsidRPr="00972F2C">
        <w:rPr>
          <w:b w:val="0"/>
        </w:rPr>
        <w:t xml:space="preserve"> </w:t>
      </w:r>
    </w:p>
    <w:p w14:paraId="784E6A05" w14:textId="1BA324E8" w:rsidR="009E7661" w:rsidRPr="009E7661" w:rsidRDefault="009E7661" w:rsidP="000E487A">
      <w:pPr>
        <w:rPr>
          <w:b/>
        </w:rPr>
      </w:pPr>
      <w:r w:rsidRPr="009E7661">
        <w:rPr>
          <w:b/>
        </w:rPr>
        <w:t xml:space="preserve">These teaching ideas accompany the article </w:t>
      </w:r>
      <w:hyperlink r:id="rId11" w:history="1">
        <w:r w:rsidRPr="009E7661">
          <w:rPr>
            <w:rStyle w:val="Hyperlink"/>
            <w:b/>
            <w:i/>
          </w:rPr>
          <w:t>Poisoned by milk</w:t>
        </w:r>
      </w:hyperlink>
      <w:r w:rsidRPr="009E7661">
        <w:rPr>
          <w:b/>
        </w:rPr>
        <w:t>.</w:t>
      </w:r>
    </w:p>
    <w:p w14:paraId="46BDB6E5" w14:textId="152B4311" w:rsidR="009E7661" w:rsidRPr="009E7661" w:rsidRDefault="009E7661" w:rsidP="000E487A">
      <w:pPr>
        <w:rPr>
          <w:b/>
          <w:color w:val="2C4D67"/>
        </w:rPr>
      </w:pPr>
      <w:r w:rsidRPr="0093518C">
        <w:rPr>
          <w:b/>
          <w:color w:val="2C4D67"/>
        </w:rPr>
        <w:t>In your class</w:t>
      </w:r>
    </w:p>
    <w:p w14:paraId="5DF086F3" w14:textId="1E3DDFC1" w:rsidR="0093518C" w:rsidRPr="0093518C" w:rsidRDefault="0093518C" w:rsidP="000E487A">
      <w:r w:rsidRPr="0093518C">
        <w:t xml:space="preserve">Chromatography is one of the most accessible and engaging topics in chemistry; pupils often leave primary school having done some chromatography experiments. Because of this, they may feel they have already covered the whole topic, but they often don’t understand chromatography well. Additionally, some pupils think techniques studied in school science must be old fashioned and not much use in modern science. This short article is perfect for sharing with students, showing them that chromatography is still at the cutting edge of analytical science. </w:t>
      </w:r>
    </w:p>
    <w:p w14:paraId="774A06C6" w14:textId="2025DC75" w:rsidR="000E487A" w:rsidRPr="0093518C" w:rsidRDefault="00894A47" w:rsidP="00894A47">
      <w:pPr>
        <w:rPr>
          <w:rStyle w:val="Hyperlink"/>
        </w:rPr>
      </w:pPr>
      <w:r w:rsidRPr="0093518C">
        <w:t>Download the text of this article</w:t>
      </w:r>
      <w:r w:rsidR="009E7661">
        <w:t>, and all the related worksheets</w:t>
      </w:r>
      <w:r w:rsidRPr="0093518C">
        <w:t xml:space="preserve"> from the </w:t>
      </w:r>
      <w:r w:rsidRPr="0093518C">
        <w:rPr>
          <w:i/>
        </w:rPr>
        <w:t>Education in Chemistry</w:t>
      </w:r>
      <w:r w:rsidRPr="0093518C">
        <w:t xml:space="preserve"> website at </w:t>
      </w:r>
      <w:hyperlink r:id="rId12" w:history="1">
        <w:r w:rsidRPr="0093518C">
          <w:rPr>
            <w:rStyle w:val="Hyperlink"/>
          </w:rPr>
          <w:t>rsc.li/2JbAXsJ</w:t>
        </w:r>
      </w:hyperlink>
    </w:p>
    <w:p w14:paraId="0E08F831" w14:textId="77777777" w:rsidR="0093518C" w:rsidRPr="0093518C" w:rsidRDefault="0093518C" w:rsidP="0093518C">
      <w:pPr>
        <w:spacing w:after="0"/>
        <w:rPr>
          <w:b/>
          <w:color w:val="2C4D67"/>
        </w:rPr>
      </w:pPr>
      <w:r w:rsidRPr="0093518C">
        <w:rPr>
          <w:b/>
          <w:color w:val="2C4D67"/>
        </w:rPr>
        <w:t>Is the label lying?</w:t>
      </w:r>
    </w:p>
    <w:p w14:paraId="09263A35" w14:textId="77777777" w:rsidR="0093518C" w:rsidRPr="0093518C" w:rsidRDefault="0093518C" w:rsidP="0093518C">
      <w:pPr>
        <w:spacing w:after="0"/>
        <w:rPr>
          <w:b/>
          <w:color w:val="000000" w:themeColor="text1"/>
        </w:rPr>
      </w:pPr>
      <w:r w:rsidRPr="0093518C">
        <w:rPr>
          <w:b/>
          <w:color w:val="000000" w:themeColor="text1"/>
        </w:rPr>
        <w:t>Finding food fraud with c</w:t>
      </w:r>
      <w:bookmarkStart w:id="0" w:name="_GoBack"/>
      <w:bookmarkEnd w:id="0"/>
      <w:r w:rsidRPr="0093518C">
        <w:rPr>
          <w:b/>
          <w:color w:val="000000" w:themeColor="text1"/>
        </w:rPr>
        <w:t>hromatography, ages 11–14 and 14–16</w:t>
      </w:r>
    </w:p>
    <w:p w14:paraId="3B5A20BA" w14:textId="0888A1BB" w:rsidR="002E2045" w:rsidRPr="0093518C" w:rsidRDefault="0093518C" w:rsidP="00894A47">
      <w:pPr>
        <w:rPr>
          <w:rStyle w:val="Hyperlink"/>
        </w:rPr>
      </w:pPr>
      <w:r w:rsidRPr="0093518C">
        <w:t>Download wor</w:t>
      </w:r>
      <w:r w:rsidR="009E7661">
        <w:t>ksheets for 11–14 or for 14–16</w:t>
      </w:r>
      <w:r w:rsidRPr="0093518C">
        <w:t xml:space="preserve"> that use the food fraud concept to frame questions about chroma</w:t>
      </w:r>
      <w:r w:rsidR="009E7661">
        <w:t xml:space="preserve">tography’s underlying concepts. </w:t>
      </w:r>
      <w:r w:rsidRPr="0093518C">
        <w:t>You will also find a teacher guide with answers.</w:t>
      </w:r>
    </w:p>
    <w:p w14:paraId="180A5BCD" w14:textId="77777777" w:rsidR="002E2045" w:rsidRPr="0093518C" w:rsidRDefault="002E2045" w:rsidP="00B03B6F">
      <w:pPr>
        <w:spacing w:after="0"/>
        <w:rPr>
          <w:b/>
          <w:color w:val="2C4D67"/>
        </w:rPr>
      </w:pPr>
      <w:r w:rsidRPr="0093518C">
        <w:rPr>
          <w:b/>
          <w:color w:val="2C4D67"/>
        </w:rPr>
        <w:t>More recommended resources</w:t>
      </w:r>
    </w:p>
    <w:p w14:paraId="5720C2D3" w14:textId="6246C8A5" w:rsidR="002E2045" w:rsidRDefault="002E2045" w:rsidP="00B03B6F">
      <w:pPr>
        <w:spacing w:after="0"/>
      </w:pPr>
      <w:r w:rsidRPr="0093518C">
        <w:t>You can use a number of resources on Learn Chemistry to add var</w:t>
      </w:r>
      <w:r w:rsidRPr="0093518C">
        <w:t>iety to chromatography lessons.</w:t>
      </w:r>
    </w:p>
    <w:p w14:paraId="508C4239" w14:textId="77777777" w:rsidR="00B03B6F" w:rsidRPr="0093518C" w:rsidRDefault="00B03B6F" w:rsidP="00B03B6F">
      <w:pPr>
        <w:spacing w:after="0"/>
      </w:pPr>
    </w:p>
    <w:p w14:paraId="1EDF0F44" w14:textId="66A921C0" w:rsidR="002E2045" w:rsidRPr="0093518C" w:rsidRDefault="002E2045" w:rsidP="002E2045">
      <w:pPr>
        <w:pStyle w:val="ListParagraph"/>
        <w:numPr>
          <w:ilvl w:val="0"/>
          <w:numId w:val="34"/>
        </w:numPr>
      </w:pPr>
      <w:r w:rsidRPr="0093518C">
        <w:t xml:space="preserve">Pupils investigate the colours in jelly babies in this experiment, which is suitable for a science club: </w:t>
      </w:r>
      <w:hyperlink r:id="rId13" w:history="1">
        <w:r w:rsidRPr="00A516B9">
          <w:rPr>
            <w:rStyle w:val="Hyperlink"/>
          </w:rPr>
          <w:t>rsc.li/2KOMDzi</w:t>
        </w:r>
      </w:hyperlink>
      <w:r w:rsidRPr="0093518C">
        <w:t>.</w:t>
      </w:r>
    </w:p>
    <w:p w14:paraId="6E596BC8" w14:textId="0E1A5DFF" w:rsidR="002E2045" w:rsidRPr="0093518C" w:rsidRDefault="002E2045" w:rsidP="002E2045">
      <w:pPr>
        <w:pStyle w:val="ListParagraph"/>
        <w:numPr>
          <w:ilvl w:val="0"/>
          <w:numId w:val="34"/>
        </w:numPr>
      </w:pPr>
      <w:r w:rsidRPr="0093518C">
        <w:t xml:space="preserve">This open-ended extension practical gets 16–18 year olds investigating colour-changing felt tip pens: </w:t>
      </w:r>
      <w:hyperlink r:id="rId14" w:history="1">
        <w:r w:rsidRPr="00A516B9">
          <w:rPr>
            <w:rStyle w:val="Hyperlink"/>
          </w:rPr>
          <w:t>rsc.li/2rw5irE</w:t>
        </w:r>
      </w:hyperlink>
      <w:r w:rsidRPr="0093518C">
        <w:t>.</w:t>
      </w:r>
    </w:p>
    <w:p w14:paraId="7788CDD1" w14:textId="655F9743" w:rsidR="002E2045" w:rsidRPr="0093518C" w:rsidRDefault="002E2045" w:rsidP="002E2045">
      <w:pPr>
        <w:pStyle w:val="ListParagraph"/>
        <w:numPr>
          <w:ilvl w:val="0"/>
          <w:numId w:val="34"/>
        </w:numPr>
      </w:pPr>
      <w:r w:rsidRPr="0093518C">
        <w:t xml:space="preserve">This chapter from the textbook That’s chemistry! has concept cartoons and resources, and is useful for primary teachers and non-specialist teachers of 11–14 chemistry: </w:t>
      </w:r>
      <w:hyperlink r:id="rId15" w:history="1">
        <w:r w:rsidRPr="00A516B9">
          <w:rPr>
            <w:rStyle w:val="Hyperlink"/>
          </w:rPr>
          <w:t>rsc.li/2G27ZWh</w:t>
        </w:r>
      </w:hyperlink>
      <w:r w:rsidRPr="0093518C">
        <w:t>.</w:t>
      </w:r>
    </w:p>
    <w:p w14:paraId="564CB5FF" w14:textId="26DA0F1C" w:rsidR="002E2045" w:rsidRPr="0093518C" w:rsidRDefault="002E2045" w:rsidP="002E2045">
      <w:pPr>
        <w:pStyle w:val="ListParagraph"/>
        <w:numPr>
          <w:ilvl w:val="0"/>
          <w:numId w:val="34"/>
        </w:numPr>
      </w:pPr>
      <w:r w:rsidRPr="0093518C">
        <w:t xml:space="preserve">The structure determination chapter of Starters for ten has short in-class activities. These are useful for teaching thin-layer and GC-MS to advanced students and 16–18 year olds: </w:t>
      </w:r>
      <w:hyperlink r:id="rId16" w:history="1">
        <w:r w:rsidRPr="00A516B9">
          <w:rPr>
            <w:rStyle w:val="Hyperlink"/>
          </w:rPr>
          <w:t>rsc.li/2jNHknF</w:t>
        </w:r>
      </w:hyperlink>
      <w:r w:rsidRPr="0093518C">
        <w:t>.</w:t>
      </w:r>
    </w:p>
    <w:p w14:paraId="56A233EE" w14:textId="7D561D69" w:rsidR="002E2045" w:rsidRPr="0093518C" w:rsidRDefault="002E2045" w:rsidP="002E2045">
      <w:pPr>
        <w:pStyle w:val="ListParagraph"/>
        <w:numPr>
          <w:ilvl w:val="0"/>
          <w:numId w:val="34"/>
        </w:numPr>
      </w:pPr>
      <w:r w:rsidRPr="0093518C">
        <w:t xml:space="preserve">If you need support developing your knowledge in analytical chemistry, this online CPD course takes you through the core content you need to teach, common student misconceptions, experimental techniques and interesting stimuli for classroom discussion: </w:t>
      </w:r>
      <w:hyperlink r:id="rId17" w:history="1">
        <w:r w:rsidRPr="00A516B9">
          <w:rPr>
            <w:rStyle w:val="Hyperlink"/>
          </w:rPr>
          <w:t>rsc.li/2KQ1Jon</w:t>
        </w:r>
      </w:hyperlink>
      <w:r w:rsidRPr="0093518C">
        <w:t xml:space="preserve"> [£].</w:t>
      </w:r>
    </w:p>
    <w:p w14:paraId="76E6B401" w14:textId="77777777" w:rsidR="0093518C" w:rsidRPr="0093518C" w:rsidRDefault="0093518C" w:rsidP="0093518C">
      <w:pPr>
        <w:rPr>
          <w:sz w:val="22"/>
          <w:szCs w:val="22"/>
        </w:rPr>
      </w:pPr>
    </w:p>
    <w:sectPr w:rsidR="0093518C" w:rsidRPr="0093518C" w:rsidSect="00E331A7">
      <w:footerReference w:type="default" r:id="rId18"/>
      <w:headerReference w:type="first" r:id="rId19"/>
      <w:footerReference w:type="first" r:id="rId20"/>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B3A" w14:textId="77777777" w:rsidR="00E11AD6" w:rsidRDefault="00E11AD6" w:rsidP="000D3D40">
      <w:r>
        <w:separator/>
      </w:r>
    </w:p>
  </w:endnote>
  <w:endnote w:type="continuationSeparator" w:id="0">
    <w:p w14:paraId="1621656C" w14:textId="77777777" w:rsidR="00E11AD6" w:rsidRDefault="00E11AD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nhem Pro Bln">
    <w:panose1 w:val="02000000000000000000"/>
    <w:charset w:val="00"/>
    <w:family w:val="modern"/>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F519AC0" w:rsidR="00E40CCC" w:rsidRDefault="00E40CCC" w:rsidP="00E40CCC">
    <w:pPr>
      <w:pStyle w:val="Footer"/>
      <w:jc w:val="right"/>
    </w:pPr>
    <w:r>
      <w:t xml:space="preserve">Page </w:t>
    </w:r>
    <w:r>
      <w:fldChar w:fldCharType="begin"/>
    </w:r>
    <w:r>
      <w:instrText xml:space="preserve"> PAGE   \* MERGEFORMAT </w:instrText>
    </w:r>
    <w:r>
      <w:fldChar w:fldCharType="separate"/>
    </w:r>
    <w:r w:rsidR="0093518C">
      <w:rPr>
        <w:noProof/>
      </w:rPr>
      <w:t>2</w:t>
    </w:r>
    <w:r>
      <w:fldChar w:fldCharType="end"/>
    </w:r>
    <w:r>
      <w:t xml:space="preserve"> of </w:t>
    </w:r>
    <w:r w:rsidR="00972F2C">
      <w:fldChar w:fldCharType="begin"/>
    </w:r>
    <w:r w:rsidR="00972F2C">
      <w:instrText xml:space="preserve"> NUMPAGES   \* MERGEFORMAT </w:instrText>
    </w:r>
    <w:r w:rsidR="00972F2C">
      <w:fldChar w:fldCharType="separate"/>
    </w:r>
    <w:r w:rsidR="0093518C">
      <w:rPr>
        <w:noProof/>
      </w:rPr>
      <w:t>2</w:t>
    </w:r>
    <w:r w:rsidR="00972F2C">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2D341598" w:rsidR="00E40CCC" w:rsidRDefault="00E40CCC" w:rsidP="00E40CCC">
    <w:pPr>
      <w:pStyle w:val="Footer"/>
      <w:jc w:val="right"/>
    </w:pPr>
    <w:r>
      <w:t xml:space="preserve">Page </w:t>
    </w:r>
    <w:r>
      <w:fldChar w:fldCharType="begin"/>
    </w:r>
    <w:r>
      <w:instrText xml:space="preserve"> PAGE   \* MERGEFORMAT </w:instrText>
    </w:r>
    <w:r>
      <w:fldChar w:fldCharType="separate"/>
    </w:r>
    <w:r w:rsidR="00972F2C">
      <w:rPr>
        <w:noProof/>
      </w:rPr>
      <w:t>1</w:t>
    </w:r>
    <w:r>
      <w:fldChar w:fldCharType="end"/>
    </w:r>
    <w:r>
      <w:t xml:space="preserve"> of </w:t>
    </w:r>
    <w:r w:rsidR="00972F2C">
      <w:fldChar w:fldCharType="begin"/>
    </w:r>
    <w:r w:rsidR="00972F2C">
      <w:instrText xml:space="preserve"> NUMPAGES   \* MERGEFORMAT </w:instrText>
    </w:r>
    <w:r w:rsidR="00972F2C">
      <w:fldChar w:fldCharType="separate"/>
    </w:r>
    <w:r w:rsidR="00972F2C">
      <w:rPr>
        <w:noProof/>
      </w:rPr>
      <w:t>1</w:t>
    </w:r>
    <w:r w:rsidR="00972F2C">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41EF" w14:textId="77777777" w:rsidR="00E11AD6" w:rsidRDefault="00E11AD6" w:rsidP="000D3D40">
      <w:r>
        <w:separator/>
      </w:r>
    </w:p>
  </w:footnote>
  <w:footnote w:type="continuationSeparator" w:id="0">
    <w:p w14:paraId="094D3AB3" w14:textId="77777777" w:rsidR="00E11AD6" w:rsidRDefault="00E11AD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45AF"/>
    <w:multiLevelType w:val="hybridMultilevel"/>
    <w:tmpl w:val="027C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956BF"/>
    <w:multiLevelType w:val="hybridMultilevel"/>
    <w:tmpl w:val="2E18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37C20"/>
    <w:multiLevelType w:val="hybridMultilevel"/>
    <w:tmpl w:val="B4D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A2D1C"/>
    <w:multiLevelType w:val="hybridMultilevel"/>
    <w:tmpl w:val="8ADC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95E4E"/>
    <w:multiLevelType w:val="hybridMultilevel"/>
    <w:tmpl w:val="7132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20319"/>
    <w:multiLevelType w:val="hybridMultilevel"/>
    <w:tmpl w:val="12C2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D8A"/>
    <w:multiLevelType w:val="hybridMultilevel"/>
    <w:tmpl w:val="7E7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458EB"/>
    <w:multiLevelType w:val="hybridMultilevel"/>
    <w:tmpl w:val="D3A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23E5A"/>
    <w:multiLevelType w:val="hybridMultilevel"/>
    <w:tmpl w:val="6F30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D43F81"/>
    <w:multiLevelType w:val="hybridMultilevel"/>
    <w:tmpl w:val="050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5"/>
  </w:num>
  <w:num w:numId="17">
    <w:abstractNumId w:val="26"/>
  </w:num>
  <w:num w:numId="18">
    <w:abstractNumId w:val="21"/>
  </w:num>
  <w:num w:numId="19">
    <w:abstractNumId w:val="29"/>
  </w:num>
  <w:num w:numId="20">
    <w:abstractNumId w:val="25"/>
  </w:num>
  <w:num w:numId="21">
    <w:abstractNumId w:val="28"/>
  </w:num>
  <w:num w:numId="22">
    <w:abstractNumId w:val="24"/>
  </w:num>
  <w:num w:numId="23">
    <w:abstractNumId w:val="32"/>
  </w:num>
  <w:num w:numId="24">
    <w:abstractNumId w:val="14"/>
  </w:num>
  <w:num w:numId="25">
    <w:abstractNumId w:val="20"/>
  </w:num>
  <w:num w:numId="26">
    <w:abstractNumId w:val="18"/>
  </w:num>
  <w:num w:numId="27">
    <w:abstractNumId w:val="13"/>
  </w:num>
  <w:num w:numId="28">
    <w:abstractNumId w:val="17"/>
  </w:num>
  <w:num w:numId="29">
    <w:abstractNumId w:val="11"/>
  </w:num>
  <w:num w:numId="30">
    <w:abstractNumId w:val="19"/>
  </w:num>
  <w:num w:numId="31">
    <w:abstractNumId w:val="10"/>
  </w:num>
  <w:num w:numId="32">
    <w:abstractNumId w:val="33"/>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EF0"/>
    <w:rsid w:val="0002726D"/>
    <w:rsid w:val="000355C3"/>
    <w:rsid w:val="0004064B"/>
    <w:rsid w:val="000410C6"/>
    <w:rsid w:val="0004162E"/>
    <w:rsid w:val="00055863"/>
    <w:rsid w:val="000709BF"/>
    <w:rsid w:val="000B30DF"/>
    <w:rsid w:val="000C7E4A"/>
    <w:rsid w:val="000D3D40"/>
    <w:rsid w:val="000D440E"/>
    <w:rsid w:val="000E487A"/>
    <w:rsid w:val="000F7A0F"/>
    <w:rsid w:val="0010264E"/>
    <w:rsid w:val="0010603F"/>
    <w:rsid w:val="00107744"/>
    <w:rsid w:val="00112D04"/>
    <w:rsid w:val="00114C4A"/>
    <w:rsid w:val="001167A2"/>
    <w:rsid w:val="001279FF"/>
    <w:rsid w:val="0014379D"/>
    <w:rsid w:val="00145ED1"/>
    <w:rsid w:val="00147C24"/>
    <w:rsid w:val="00150789"/>
    <w:rsid w:val="00151436"/>
    <w:rsid w:val="00153E57"/>
    <w:rsid w:val="0016440A"/>
    <w:rsid w:val="00165309"/>
    <w:rsid w:val="00170457"/>
    <w:rsid w:val="0018383B"/>
    <w:rsid w:val="001B4AD9"/>
    <w:rsid w:val="001B7EB7"/>
    <w:rsid w:val="001D1E2A"/>
    <w:rsid w:val="001D703D"/>
    <w:rsid w:val="001D7818"/>
    <w:rsid w:val="001E08D0"/>
    <w:rsid w:val="001E0F30"/>
    <w:rsid w:val="001E2D76"/>
    <w:rsid w:val="001F26C9"/>
    <w:rsid w:val="001F2D6F"/>
    <w:rsid w:val="001F589D"/>
    <w:rsid w:val="00200C3D"/>
    <w:rsid w:val="00206ABE"/>
    <w:rsid w:val="00210131"/>
    <w:rsid w:val="002117FF"/>
    <w:rsid w:val="00217413"/>
    <w:rsid w:val="00220437"/>
    <w:rsid w:val="00232BDF"/>
    <w:rsid w:val="00245902"/>
    <w:rsid w:val="00254EDF"/>
    <w:rsid w:val="00274F1A"/>
    <w:rsid w:val="0028034B"/>
    <w:rsid w:val="00281035"/>
    <w:rsid w:val="00287576"/>
    <w:rsid w:val="00291C4D"/>
    <w:rsid w:val="00292178"/>
    <w:rsid w:val="0029407B"/>
    <w:rsid w:val="002A3815"/>
    <w:rsid w:val="002B0A63"/>
    <w:rsid w:val="002C0301"/>
    <w:rsid w:val="002C4A08"/>
    <w:rsid w:val="002E0A11"/>
    <w:rsid w:val="002E2045"/>
    <w:rsid w:val="002F0461"/>
    <w:rsid w:val="003019B6"/>
    <w:rsid w:val="003260A5"/>
    <w:rsid w:val="00334EAD"/>
    <w:rsid w:val="00343CBA"/>
    <w:rsid w:val="0035569E"/>
    <w:rsid w:val="00361A0D"/>
    <w:rsid w:val="00384D95"/>
    <w:rsid w:val="003B3451"/>
    <w:rsid w:val="003C026F"/>
    <w:rsid w:val="003D3F02"/>
    <w:rsid w:val="003D54D0"/>
    <w:rsid w:val="003D57D3"/>
    <w:rsid w:val="003D6B89"/>
    <w:rsid w:val="003E2810"/>
    <w:rsid w:val="003F24EB"/>
    <w:rsid w:val="003F631F"/>
    <w:rsid w:val="003F79F1"/>
    <w:rsid w:val="00400C63"/>
    <w:rsid w:val="0040193A"/>
    <w:rsid w:val="00406A3D"/>
    <w:rsid w:val="00413366"/>
    <w:rsid w:val="00424F9A"/>
    <w:rsid w:val="00427B37"/>
    <w:rsid w:val="00430065"/>
    <w:rsid w:val="00437020"/>
    <w:rsid w:val="00443B85"/>
    <w:rsid w:val="00446249"/>
    <w:rsid w:val="004520B6"/>
    <w:rsid w:val="00460F13"/>
    <w:rsid w:val="004634FA"/>
    <w:rsid w:val="004723CA"/>
    <w:rsid w:val="00472A1A"/>
    <w:rsid w:val="00490BB0"/>
    <w:rsid w:val="00496E2E"/>
    <w:rsid w:val="004970E1"/>
    <w:rsid w:val="004A2D91"/>
    <w:rsid w:val="004A32F0"/>
    <w:rsid w:val="004B204F"/>
    <w:rsid w:val="004B2F65"/>
    <w:rsid w:val="004C6CC9"/>
    <w:rsid w:val="004F0CCE"/>
    <w:rsid w:val="004F6077"/>
    <w:rsid w:val="005065D4"/>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152B"/>
    <w:rsid w:val="006525C2"/>
    <w:rsid w:val="006532A6"/>
    <w:rsid w:val="00654FDB"/>
    <w:rsid w:val="00662B91"/>
    <w:rsid w:val="0067206C"/>
    <w:rsid w:val="006758AB"/>
    <w:rsid w:val="0068537A"/>
    <w:rsid w:val="00690747"/>
    <w:rsid w:val="006A3C2F"/>
    <w:rsid w:val="006A6E63"/>
    <w:rsid w:val="006B0994"/>
    <w:rsid w:val="006C60A1"/>
    <w:rsid w:val="006D3E26"/>
    <w:rsid w:val="006D42ED"/>
    <w:rsid w:val="006E4A68"/>
    <w:rsid w:val="006F6F73"/>
    <w:rsid w:val="00702F5A"/>
    <w:rsid w:val="00707FDD"/>
    <w:rsid w:val="007142E1"/>
    <w:rsid w:val="00714A35"/>
    <w:rsid w:val="007213C2"/>
    <w:rsid w:val="00723F23"/>
    <w:rsid w:val="007358E3"/>
    <w:rsid w:val="00746CEC"/>
    <w:rsid w:val="0075451A"/>
    <w:rsid w:val="00755C7E"/>
    <w:rsid w:val="007667DD"/>
    <w:rsid w:val="00784400"/>
    <w:rsid w:val="0079031C"/>
    <w:rsid w:val="007974A6"/>
    <w:rsid w:val="007A39F1"/>
    <w:rsid w:val="007B610A"/>
    <w:rsid w:val="007C1813"/>
    <w:rsid w:val="007D6ECA"/>
    <w:rsid w:val="007D76A7"/>
    <w:rsid w:val="007E410C"/>
    <w:rsid w:val="0080030A"/>
    <w:rsid w:val="00805114"/>
    <w:rsid w:val="00807F8B"/>
    <w:rsid w:val="0081005F"/>
    <w:rsid w:val="00813F0F"/>
    <w:rsid w:val="008141FB"/>
    <w:rsid w:val="00815E3B"/>
    <w:rsid w:val="0082145F"/>
    <w:rsid w:val="008342DB"/>
    <w:rsid w:val="00836F07"/>
    <w:rsid w:val="00843B35"/>
    <w:rsid w:val="00853A62"/>
    <w:rsid w:val="00854D32"/>
    <w:rsid w:val="00857888"/>
    <w:rsid w:val="00870502"/>
    <w:rsid w:val="00873C13"/>
    <w:rsid w:val="00881418"/>
    <w:rsid w:val="00883E1A"/>
    <w:rsid w:val="00885B52"/>
    <w:rsid w:val="00894A47"/>
    <w:rsid w:val="008A3B63"/>
    <w:rsid w:val="008A6AD0"/>
    <w:rsid w:val="008B3961"/>
    <w:rsid w:val="008B7F9A"/>
    <w:rsid w:val="008C2782"/>
    <w:rsid w:val="008D41D2"/>
    <w:rsid w:val="008E2859"/>
    <w:rsid w:val="008F4156"/>
    <w:rsid w:val="008F7208"/>
    <w:rsid w:val="0090405B"/>
    <w:rsid w:val="00915C84"/>
    <w:rsid w:val="00923E53"/>
    <w:rsid w:val="009326B6"/>
    <w:rsid w:val="009328DD"/>
    <w:rsid w:val="0093518C"/>
    <w:rsid w:val="0094205D"/>
    <w:rsid w:val="00943452"/>
    <w:rsid w:val="00972310"/>
    <w:rsid w:val="00972F2C"/>
    <w:rsid w:val="00977AAC"/>
    <w:rsid w:val="00982F78"/>
    <w:rsid w:val="0098380A"/>
    <w:rsid w:val="009875B2"/>
    <w:rsid w:val="00987FC3"/>
    <w:rsid w:val="00995D66"/>
    <w:rsid w:val="009C5777"/>
    <w:rsid w:val="009D4E77"/>
    <w:rsid w:val="009E7661"/>
    <w:rsid w:val="009F0DFC"/>
    <w:rsid w:val="009F3138"/>
    <w:rsid w:val="009F3445"/>
    <w:rsid w:val="009F7D85"/>
    <w:rsid w:val="00A06248"/>
    <w:rsid w:val="00A36CB9"/>
    <w:rsid w:val="00A42400"/>
    <w:rsid w:val="00A46B94"/>
    <w:rsid w:val="00A50EEB"/>
    <w:rsid w:val="00A516B9"/>
    <w:rsid w:val="00A52886"/>
    <w:rsid w:val="00A5587C"/>
    <w:rsid w:val="00A61EEB"/>
    <w:rsid w:val="00A71395"/>
    <w:rsid w:val="00A749EA"/>
    <w:rsid w:val="00A74AC9"/>
    <w:rsid w:val="00A75F4C"/>
    <w:rsid w:val="00A85F6F"/>
    <w:rsid w:val="00A9584B"/>
    <w:rsid w:val="00AB1738"/>
    <w:rsid w:val="00AC1399"/>
    <w:rsid w:val="00AD645C"/>
    <w:rsid w:val="00AE621F"/>
    <w:rsid w:val="00AF3542"/>
    <w:rsid w:val="00AF776F"/>
    <w:rsid w:val="00B03B6F"/>
    <w:rsid w:val="00B176E1"/>
    <w:rsid w:val="00B20041"/>
    <w:rsid w:val="00B21A00"/>
    <w:rsid w:val="00B33495"/>
    <w:rsid w:val="00B57B2A"/>
    <w:rsid w:val="00B718A6"/>
    <w:rsid w:val="00B73FB2"/>
    <w:rsid w:val="00B76B03"/>
    <w:rsid w:val="00BA512C"/>
    <w:rsid w:val="00BB1F22"/>
    <w:rsid w:val="00BB7404"/>
    <w:rsid w:val="00C011C9"/>
    <w:rsid w:val="00C17DDC"/>
    <w:rsid w:val="00C222CB"/>
    <w:rsid w:val="00C3053B"/>
    <w:rsid w:val="00C72F8B"/>
    <w:rsid w:val="00C74010"/>
    <w:rsid w:val="00CA6ED6"/>
    <w:rsid w:val="00CD10BF"/>
    <w:rsid w:val="00CE37CF"/>
    <w:rsid w:val="00CF5220"/>
    <w:rsid w:val="00D174D9"/>
    <w:rsid w:val="00D20A6A"/>
    <w:rsid w:val="00D25A7E"/>
    <w:rsid w:val="00D34A04"/>
    <w:rsid w:val="00D5111B"/>
    <w:rsid w:val="00D60214"/>
    <w:rsid w:val="00D62F8A"/>
    <w:rsid w:val="00D71A1A"/>
    <w:rsid w:val="00D90054"/>
    <w:rsid w:val="00DC30F3"/>
    <w:rsid w:val="00DC5D89"/>
    <w:rsid w:val="00DC64EC"/>
    <w:rsid w:val="00DD4498"/>
    <w:rsid w:val="00DD6FD3"/>
    <w:rsid w:val="00E11AD6"/>
    <w:rsid w:val="00E15396"/>
    <w:rsid w:val="00E160E0"/>
    <w:rsid w:val="00E17C67"/>
    <w:rsid w:val="00E32C87"/>
    <w:rsid w:val="00E331A7"/>
    <w:rsid w:val="00E36068"/>
    <w:rsid w:val="00E40CCC"/>
    <w:rsid w:val="00E42AF7"/>
    <w:rsid w:val="00E47850"/>
    <w:rsid w:val="00E47D2B"/>
    <w:rsid w:val="00E5491A"/>
    <w:rsid w:val="00E61773"/>
    <w:rsid w:val="00E86125"/>
    <w:rsid w:val="00EA0301"/>
    <w:rsid w:val="00EA0DFF"/>
    <w:rsid w:val="00EA2A3C"/>
    <w:rsid w:val="00EA3691"/>
    <w:rsid w:val="00EB1D7C"/>
    <w:rsid w:val="00EC0B8E"/>
    <w:rsid w:val="00ED609E"/>
    <w:rsid w:val="00EF1342"/>
    <w:rsid w:val="00EF66DC"/>
    <w:rsid w:val="00F01FF5"/>
    <w:rsid w:val="00F05BEA"/>
    <w:rsid w:val="00F256BF"/>
    <w:rsid w:val="00F32AE0"/>
    <w:rsid w:val="00F33F60"/>
    <w:rsid w:val="00F373ED"/>
    <w:rsid w:val="00F428D8"/>
    <w:rsid w:val="00F47056"/>
    <w:rsid w:val="00F60031"/>
    <w:rsid w:val="00F76CF5"/>
    <w:rsid w:val="00F87D0C"/>
    <w:rsid w:val="00F91DF0"/>
    <w:rsid w:val="00FA248D"/>
    <w:rsid w:val="00FA2C90"/>
    <w:rsid w:val="00FA7F39"/>
    <w:rsid w:val="00FB66F1"/>
    <w:rsid w:val="00FC0A2D"/>
    <w:rsid w:val="00FC34D7"/>
    <w:rsid w:val="00FC60FB"/>
    <w:rsid w:val="00FD0B10"/>
    <w:rsid w:val="00FD2057"/>
    <w:rsid w:val="00FD3BA3"/>
    <w:rsid w:val="00FD3F2B"/>
    <w:rsid w:val="00FD6BAE"/>
    <w:rsid w:val="00FE01FC"/>
    <w:rsid w:val="00FE6711"/>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paragraph" w:customStyle="1" w:styleId="NoParagraphStyle">
    <w:name w:val="[No Paragraph Style]"/>
    <w:rsid w:val="00F01FF5"/>
    <w:pPr>
      <w:autoSpaceDE w:val="0"/>
      <w:autoSpaceDN w:val="0"/>
      <w:adjustRightInd w:val="0"/>
      <w:spacing w:before="0" w:line="288" w:lineRule="auto"/>
      <w:textAlignment w:val="center"/>
    </w:pPr>
    <w:rPr>
      <w:rFonts w:ascii="MinionPro-Regular" w:hAnsi="MinionPro-Regular" w:cs="MinionPro-Regular"/>
      <w:color w:val="000000"/>
      <w:sz w:val="24"/>
      <w:szCs w:val="24"/>
      <w:lang w:val="en-US"/>
    </w:rPr>
  </w:style>
  <w:style w:type="paragraph" w:customStyle="1" w:styleId="Flushpara">
    <w:name w:val="Flush para"/>
    <w:basedOn w:val="NoParagraphStyle"/>
    <w:next w:val="Normal"/>
    <w:uiPriority w:val="99"/>
    <w:rsid w:val="00F01FF5"/>
    <w:pPr>
      <w:spacing w:line="200" w:lineRule="atLeast"/>
    </w:pPr>
    <w:rPr>
      <w:rFonts w:ascii="Arnhem Pro Bln" w:hAnsi="Arnhem Pro Bln" w:cs="Arnhem Pro Bln"/>
      <w:spacing w:val="-2"/>
      <w:sz w:val="17"/>
      <w:szCs w:val="17"/>
      <w:lang w:val="en-GB"/>
    </w:rPr>
  </w:style>
  <w:style w:type="character" w:customStyle="1" w:styleId="BulletGREPNested">
    <w:name w:val="Bullet (GREP/Nested)"/>
    <w:uiPriority w:val="99"/>
    <w:rsid w:val="00F01FF5"/>
    <w:rPr>
      <w:color w:val="396079"/>
      <w:position w:val="-3"/>
      <w:sz w:val="24"/>
      <w:szCs w:val="24"/>
    </w:rPr>
  </w:style>
  <w:style w:type="character" w:customStyle="1" w:styleId="PositionNormalTextposition">
    <w:name w:val="Position: Normal (Text position)"/>
    <w:uiPriority w:val="99"/>
    <w:rsid w:val="00F01FF5"/>
    <w:rPr>
      <w:position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09357296">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8806563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2KOMDz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sc.li/2JbAXsJ" TargetMode="External"/><Relationship Id="rId17" Type="http://schemas.openxmlformats.org/officeDocument/2006/relationships/hyperlink" Target="https://rsc.li/2KQ1Jon" TargetMode="External"/><Relationship Id="rId2" Type="http://schemas.openxmlformats.org/officeDocument/2006/relationships/customXml" Target="../customXml/item2.xml"/><Relationship Id="rId16" Type="http://schemas.openxmlformats.org/officeDocument/2006/relationships/hyperlink" Target="https://rsc.li/2jNHkn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JbAXsJ" TargetMode="External"/><Relationship Id="rId5" Type="http://schemas.openxmlformats.org/officeDocument/2006/relationships/styles" Target="styles.xml"/><Relationship Id="rId15" Type="http://schemas.openxmlformats.org/officeDocument/2006/relationships/hyperlink" Target="https://rsc.li/2G27ZWh" TargetMode="External"/><Relationship Id="rId10" Type="http://schemas.openxmlformats.org/officeDocument/2006/relationships/hyperlink" Target="https://rsc.li/2JbAXsJ"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2rw5i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27d643f5-4560-4eff-9f48-d0fe6b2bec2d"/>
    <ds:schemaRef ds:uri="http://www.w3.org/XML/1998/namespace"/>
    <ds:schemaRef ds:uri="http://purl.org/dc/elements/1.1/"/>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All teaching ideas</vt:lpstr>
    </vt:vector>
  </TitlesOfParts>
  <Company>Royal Society of Chemistry</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teaching ideas</dc:title>
  <dc:subject>Demonstration silver acetylide as a contact explosive</dc:subject>
  <dc:creator>Royal Society of Chemistry</dc:creator>
  <dc:description>To accompany the article 'Poisoned by milk', from Education in Chemistry, July 2018</dc:description>
  <cp:lastModifiedBy>Luke Blackburn</cp:lastModifiedBy>
  <cp:revision>59</cp:revision>
  <dcterms:created xsi:type="dcterms:W3CDTF">2018-01-30T11:48:00Z</dcterms:created>
  <dcterms:modified xsi:type="dcterms:W3CDTF">2018-05-31T14:36:00Z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