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87B7" w14:textId="77777777" w:rsidR="00986CFD" w:rsidRDefault="00986CFD" w:rsidP="00986CFD">
      <w:pPr>
        <w:pStyle w:val="Heading1"/>
      </w:pPr>
      <w:r>
        <w:t>Understanding the chemistry of biological processes</w:t>
      </w:r>
    </w:p>
    <w:p w14:paraId="14372F96" w14:textId="54A6B818" w:rsidR="002F0380" w:rsidRDefault="0005693A" w:rsidP="0005693A">
      <w:pPr>
        <w:pStyle w:val="Leadparagraph"/>
      </w:pPr>
      <w:bookmarkStart w:id="0" w:name="_GoBack"/>
      <w:bookmarkEnd w:id="0"/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CD76C7">
        <w:rPr>
          <w:rStyle w:val="LeadparagraphChar"/>
        </w:rPr>
        <w:t>November 2018</w:t>
      </w:r>
      <w:r>
        <w:rPr>
          <w:rStyle w:val="LeadparagraphChar"/>
        </w:rPr>
        <w:br/>
      </w:r>
      <w:r w:rsidR="00CD76C7" w:rsidRPr="00CD76C7">
        <w:rPr>
          <w:b w:val="0"/>
        </w:rPr>
        <w:t>rsc.li/2AgFK6Q</w:t>
      </w:r>
    </w:p>
    <w:p w14:paraId="14389607" w14:textId="76A6C3BA" w:rsidR="0077533B" w:rsidRDefault="00B47C16" w:rsidP="00B47C16">
      <w:pPr>
        <w:pStyle w:val="Heading2"/>
      </w:pPr>
      <w:r>
        <w:t>Answers</w:t>
      </w:r>
    </w:p>
    <w:p w14:paraId="2A9DB3DA" w14:textId="353B2D3B" w:rsidR="002F0380" w:rsidRPr="002F0380" w:rsidRDefault="002F0380" w:rsidP="00085A12">
      <w:pPr>
        <w:pStyle w:val="ListParagraph"/>
        <w:numPr>
          <w:ilvl w:val="0"/>
          <w:numId w:val="14"/>
        </w:numPr>
        <w:ind w:left="426"/>
      </w:pPr>
      <w:r w:rsidRPr="002F0380">
        <w:t xml:space="preserve">Enzymes act as a template and hold the substrates (reactants) in place so they are in the proper position and orientation for the reaction to proceed. </w:t>
      </w:r>
      <w:proofErr w:type="gramStart"/>
      <w:r w:rsidRPr="002F0380">
        <w:t>Also</w:t>
      </w:r>
      <w:proofErr w:type="gramEnd"/>
      <w:r w:rsidR="00C81EFE">
        <w:t>,</w:t>
      </w:r>
      <w:r w:rsidRPr="002F0380">
        <w:t xml:space="preserve"> they surround the substrates with functional groups </w:t>
      </w:r>
      <w:r w:rsidR="00C81EFE">
        <w:t>that</w:t>
      </w:r>
      <w:r w:rsidRPr="002F0380">
        <w:t xml:space="preserve"> stabilise the transition state.</w:t>
      </w:r>
    </w:p>
    <w:p w14:paraId="67C27E05" w14:textId="3554F085" w:rsidR="002F0380" w:rsidRPr="002F0380" w:rsidRDefault="002F0380" w:rsidP="00085A12">
      <w:pPr>
        <w:pStyle w:val="ListParagraph"/>
        <w:numPr>
          <w:ilvl w:val="0"/>
          <w:numId w:val="14"/>
        </w:numPr>
        <w:ind w:left="426"/>
      </w:pPr>
      <w:r w:rsidRPr="002F0380">
        <w:t xml:space="preserve">It binds in a pocket inside the enzyme rather than on the surface. </w:t>
      </w:r>
    </w:p>
    <w:p w14:paraId="2013EBCD" w14:textId="4E2B59E5" w:rsidR="002F0380" w:rsidRPr="002F0380" w:rsidRDefault="002F0380" w:rsidP="00085A12">
      <w:pPr>
        <w:pStyle w:val="ListParagraph"/>
        <w:numPr>
          <w:ilvl w:val="0"/>
          <w:numId w:val="14"/>
        </w:numPr>
        <w:ind w:left="426"/>
      </w:pPr>
      <w:r w:rsidRPr="002F0380">
        <w:t>Hydrogen bonds from a number of amino acids and electrostatic interactions with an iron-sulfur cluster.</w:t>
      </w:r>
    </w:p>
    <w:p w14:paraId="0B101A67" w14:textId="752D73E9" w:rsidR="002F0380" w:rsidRPr="002F0380" w:rsidRDefault="002F0380" w:rsidP="00085A12">
      <w:pPr>
        <w:pStyle w:val="ListParagraph"/>
        <w:numPr>
          <w:ilvl w:val="0"/>
          <w:numId w:val="14"/>
        </w:numPr>
        <w:ind w:left="426"/>
      </w:pPr>
      <w:r w:rsidRPr="002F0380">
        <w:t xml:space="preserve">Once the reaction had taken </w:t>
      </w:r>
      <w:proofErr w:type="gramStart"/>
      <w:r w:rsidRPr="002F0380">
        <w:t>place</w:t>
      </w:r>
      <w:proofErr w:type="gramEnd"/>
      <w:r w:rsidRPr="002F0380">
        <w:t xml:space="preserve"> the enzyme was left in its original form unchanged.</w:t>
      </w:r>
    </w:p>
    <w:p w14:paraId="49224E42" w14:textId="225DE342" w:rsidR="002F0380" w:rsidRPr="002F0380" w:rsidRDefault="002F0380" w:rsidP="00085A12">
      <w:pPr>
        <w:pStyle w:val="ListParagraph"/>
        <w:numPr>
          <w:ilvl w:val="0"/>
          <w:numId w:val="14"/>
        </w:numPr>
        <w:ind w:left="426"/>
      </w:pPr>
      <w:r w:rsidRPr="002F0380">
        <w:t>The enzyme can flex and move around th</w:t>
      </w:r>
      <w:r w:rsidR="00C81EFE">
        <w:t>e substrate, enclosing it while</w:t>
      </w:r>
      <w:r w:rsidRPr="002F0380">
        <w:t xml:space="preserve"> the reaction occurs.</w:t>
      </w:r>
    </w:p>
    <w:p w14:paraId="690D5817" w14:textId="2434213C" w:rsidR="002F0380" w:rsidRPr="002F0380" w:rsidRDefault="002F0380" w:rsidP="00085A12">
      <w:pPr>
        <w:pStyle w:val="ListParagraph"/>
        <w:numPr>
          <w:ilvl w:val="0"/>
          <w:numId w:val="14"/>
        </w:numPr>
        <w:ind w:left="426"/>
      </w:pPr>
      <w:r w:rsidRPr="002F0380">
        <w:t>The substrates are both peptides and the products are the cross-linked peptide plus alanine.</w:t>
      </w:r>
    </w:p>
    <w:p w14:paraId="3F67D943" w14:textId="66D52709" w:rsidR="002F0380" w:rsidRPr="002F0380" w:rsidRDefault="002F0380" w:rsidP="00085A12">
      <w:pPr>
        <w:pStyle w:val="ListParagraph"/>
        <w:numPr>
          <w:ilvl w:val="0"/>
          <w:numId w:val="14"/>
        </w:numPr>
        <w:ind w:left="426"/>
      </w:pPr>
      <w:r w:rsidRPr="002F0380">
        <w:t xml:space="preserve">Ampicillin binds to the serine in the active site of the </w:t>
      </w:r>
      <w:proofErr w:type="spellStart"/>
      <w:r w:rsidRPr="002F0380">
        <w:t>transpeptidase</w:t>
      </w:r>
      <w:proofErr w:type="spellEnd"/>
      <w:r w:rsidRPr="002F0380">
        <w:t xml:space="preserve"> enzyme. The </w:t>
      </w:r>
      <w:r w:rsidR="00913578">
        <w:t>β-</w:t>
      </w:r>
      <w:r w:rsidRPr="002F0380">
        <w:t>lactam ring opens and the carbonyl group forms an ester bond with the s</w:t>
      </w:r>
      <w:r w:rsidR="00C81EFE">
        <w:t>erine in the active site. While</w:t>
      </w:r>
      <w:r w:rsidRPr="002F0380">
        <w:t xml:space="preserve"> the ampicillin is bound to the enzyme’s active site, it cannot bind the peptides it </w:t>
      </w:r>
      <w:proofErr w:type="gramStart"/>
      <w:r w:rsidRPr="002F0380">
        <w:t>is meant</w:t>
      </w:r>
      <w:proofErr w:type="gramEnd"/>
      <w:r w:rsidRPr="002F0380">
        <w:t xml:space="preserve"> to cross</w:t>
      </w:r>
      <w:r w:rsidR="00C81EFE">
        <w:t>-</w:t>
      </w:r>
      <w:r w:rsidRPr="002F0380">
        <w:t>link.</w:t>
      </w:r>
    </w:p>
    <w:p w14:paraId="48CFBCB2" w14:textId="02B77D89" w:rsidR="002F0380" w:rsidRPr="002F0380" w:rsidRDefault="00913578" w:rsidP="00085A12">
      <w:pPr>
        <w:pStyle w:val="ListParagraph"/>
        <w:numPr>
          <w:ilvl w:val="0"/>
          <w:numId w:val="14"/>
        </w:numPr>
        <w:ind w:left="426"/>
      </w:pPr>
      <w:proofErr w:type="gramStart"/>
      <w:r>
        <w:t>β-</w:t>
      </w:r>
      <w:r w:rsidR="002F0380" w:rsidRPr="002F0380">
        <w:t>lactamase</w:t>
      </w:r>
      <w:proofErr w:type="gramEnd"/>
      <w:r w:rsidR="002F0380" w:rsidRPr="002F0380">
        <w:t xml:space="preserve"> reacts with ampicillin to open the </w:t>
      </w:r>
      <w:r>
        <w:t>β-</w:t>
      </w:r>
      <w:r w:rsidR="002F0380" w:rsidRPr="002F0380">
        <w:t xml:space="preserve">lactam ring and then releases the ampicillin in an inactive form so it cannot bind to </w:t>
      </w:r>
      <w:proofErr w:type="spellStart"/>
      <w:r w:rsidR="002F0380" w:rsidRPr="002F0380">
        <w:t>transpeptidase</w:t>
      </w:r>
      <w:proofErr w:type="spellEnd"/>
      <w:r w:rsidR="002F0380" w:rsidRPr="002F0380">
        <w:t>.</w:t>
      </w:r>
    </w:p>
    <w:p w14:paraId="06275713" w14:textId="5D856253" w:rsidR="002F0380" w:rsidRDefault="008868C4" w:rsidP="00085A12">
      <w:pPr>
        <w:pStyle w:val="ListParagraph"/>
        <w:numPr>
          <w:ilvl w:val="0"/>
          <w:numId w:val="14"/>
        </w:numPr>
        <w:ind w:left="426"/>
      </w:pPr>
      <w:r>
        <w:t xml:space="preserve">In the active site of the </w:t>
      </w:r>
      <w:proofErr w:type="gramStart"/>
      <w:r>
        <w:t>enzyme</w:t>
      </w:r>
      <w:proofErr w:type="gramEnd"/>
      <w:r>
        <w:t xml:space="preserve"> there is a hydroxyl group in the serine. In the ampicillin </w:t>
      </w:r>
      <w:proofErr w:type="gramStart"/>
      <w:r>
        <w:t>molecule</w:t>
      </w:r>
      <w:proofErr w:type="gramEnd"/>
      <w:r>
        <w:t xml:space="preserve"> there is a carbonyl in the </w:t>
      </w:r>
      <w:r w:rsidR="00913578">
        <w:t>β-</w:t>
      </w:r>
      <w:r>
        <w:t>lactam ring.</w:t>
      </w:r>
    </w:p>
    <w:p w14:paraId="0E6CC196" w14:textId="744C4CE8" w:rsidR="008868C4" w:rsidRDefault="008868C4" w:rsidP="00085A12">
      <w:pPr>
        <w:pStyle w:val="ListParagraph"/>
        <w:numPr>
          <w:ilvl w:val="0"/>
          <w:numId w:val="14"/>
        </w:numPr>
        <w:ind w:left="426"/>
      </w:pPr>
      <w:r>
        <w:t xml:space="preserve">The lysine side chain contains an amine group </w:t>
      </w:r>
      <w:r w:rsidR="00C81EFE">
        <w:t>that</w:t>
      </w:r>
      <w:r>
        <w:t xml:space="preserve"> is likely to </w:t>
      </w:r>
      <w:proofErr w:type="gramStart"/>
      <w:r>
        <w:t>be at least partly positively charged</w:t>
      </w:r>
      <w:proofErr w:type="gramEnd"/>
      <w:r>
        <w:t xml:space="preserve"> at neutral </w:t>
      </w:r>
      <w:proofErr w:type="spellStart"/>
      <w:r>
        <w:t>pH.</w:t>
      </w:r>
      <w:proofErr w:type="spellEnd"/>
      <w:r>
        <w:t xml:space="preserve"> The carboxyl group on ampicillin is likely to be negatively charged and this could mean there is electrostatic interaction to hold the ampicillin in the active site.</w:t>
      </w:r>
    </w:p>
    <w:p w14:paraId="04F080A8" w14:textId="21BB7FB4" w:rsidR="00841720" w:rsidRPr="002F0380" w:rsidRDefault="00841720" w:rsidP="00085A12">
      <w:pPr>
        <w:pStyle w:val="ListParagraph"/>
        <w:numPr>
          <w:ilvl w:val="0"/>
          <w:numId w:val="14"/>
        </w:numPr>
        <w:ind w:left="426"/>
      </w:pPr>
    </w:p>
    <w:p w14:paraId="51AD93E8" w14:textId="1BC5744C" w:rsidR="002F0380" w:rsidRDefault="00085A12" w:rsidP="00085A12">
      <w:r w:rsidRPr="00085A12">
        <w:rPr>
          <w:noProof/>
          <w:lang w:eastAsia="en-GB"/>
        </w:rPr>
        <w:drawing>
          <wp:inline distT="0" distB="0" distL="0" distR="0" wp14:anchorId="518D5AE8" wp14:editId="73936611">
            <wp:extent cx="5759269" cy="2617773"/>
            <wp:effectExtent l="0" t="0" r="0" b="0"/>
            <wp:docPr id="1" name="Picture 1" descr="\\rsc\data\Shares\EPP\Publishing and Schools Engagement\Education in Chemistry\Content\2018_06\Antibiotics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sc\data\Shares\EPP\Publishing and Schools Engagement\Education in Chemistry\Content\2018_06\Antibiotics\Imag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38"/>
                    <a:stretch/>
                  </pic:blipFill>
                  <pic:spPr bwMode="auto">
                    <a:xfrm>
                      <a:off x="0" y="0"/>
                      <a:ext cx="5759450" cy="2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0380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5A9F6" w14:textId="77777777" w:rsidR="00942204" w:rsidRDefault="00942204" w:rsidP="000D3D40">
      <w:r>
        <w:separator/>
      </w:r>
    </w:p>
  </w:endnote>
  <w:endnote w:type="continuationSeparator" w:id="0">
    <w:p w14:paraId="6B24323B" w14:textId="77777777" w:rsidR="00942204" w:rsidRDefault="00942204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6CF595A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47C16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47C16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DE64C9D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986CFD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986CFD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F18DF" w14:textId="77777777" w:rsidR="00942204" w:rsidRDefault="00942204" w:rsidP="000D3D40">
      <w:r>
        <w:separator/>
      </w:r>
    </w:p>
  </w:footnote>
  <w:footnote w:type="continuationSeparator" w:id="0">
    <w:p w14:paraId="710FD2E5" w14:textId="77777777" w:rsidR="00942204" w:rsidRDefault="00942204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2" name="Picture 2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47EB"/>
    <w:multiLevelType w:val="hybridMultilevel"/>
    <w:tmpl w:val="79320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4289A"/>
    <w:multiLevelType w:val="hybridMultilevel"/>
    <w:tmpl w:val="986A8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6A93"/>
    <w:multiLevelType w:val="hybridMultilevel"/>
    <w:tmpl w:val="33386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C0277C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B0BD3"/>
    <w:multiLevelType w:val="hybridMultilevel"/>
    <w:tmpl w:val="91D87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142B7"/>
    <w:multiLevelType w:val="hybridMultilevel"/>
    <w:tmpl w:val="5F0E28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146C"/>
    <w:multiLevelType w:val="hybridMultilevel"/>
    <w:tmpl w:val="69FC78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5A2CA7"/>
    <w:multiLevelType w:val="hybridMultilevel"/>
    <w:tmpl w:val="80000AB6"/>
    <w:lvl w:ilvl="0" w:tplc="34503026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10"/>
    <w:lvlOverride w:ilvl="0">
      <w:startOverride w:val="2"/>
    </w:lvlOverride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85A12"/>
    <w:rsid w:val="000D3D40"/>
    <w:rsid w:val="000D440E"/>
    <w:rsid w:val="000E6FD8"/>
    <w:rsid w:val="000F0BD1"/>
    <w:rsid w:val="0010603F"/>
    <w:rsid w:val="00112D04"/>
    <w:rsid w:val="001167A2"/>
    <w:rsid w:val="00165309"/>
    <w:rsid w:val="00170457"/>
    <w:rsid w:val="0018383B"/>
    <w:rsid w:val="00196165"/>
    <w:rsid w:val="001B7EB7"/>
    <w:rsid w:val="001D1E2A"/>
    <w:rsid w:val="001D7818"/>
    <w:rsid w:val="001E0F30"/>
    <w:rsid w:val="001E1659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A4EAB"/>
    <w:rsid w:val="002C0301"/>
    <w:rsid w:val="002C4A08"/>
    <w:rsid w:val="002D5678"/>
    <w:rsid w:val="002E44CD"/>
    <w:rsid w:val="002F0380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32B2"/>
    <w:rsid w:val="00424F9A"/>
    <w:rsid w:val="00427B37"/>
    <w:rsid w:val="00460F13"/>
    <w:rsid w:val="004634FA"/>
    <w:rsid w:val="00466988"/>
    <w:rsid w:val="004723CA"/>
    <w:rsid w:val="00490BB0"/>
    <w:rsid w:val="00496E2E"/>
    <w:rsid w:val="004A2D91"/>
    <w:rsid w:val="004A32F0"/>
    <w:rsid w:val="004B204F"/>
    <w:rsid w:val="004B2F65"/>
    <w:rsid w:val="005065D4"/>
    <w:rsid w:val="00507238"/>
    <w:rsid w:val="00510295"/>
    <w:rsid w:val="00515A5A"/>
    <w:rsid w:val="00520BDA"/>
    <w:rsid w:val="005221EF"/>
    <w:rsid w:val="005368A0"/>
    <w:rsid w:val="0054664B"/>
    <w:rsid w:val="005516AC"/>
    <w:rsid w:val="0056407C"/>
    <w:rsid w:val="00590709"/>
    <w:rsid w:val="00596ABE"/>
    <w:rsid w:val="005A7495"/>
    <w:rsid w:val="005C02D2"/>
    <w:rsid w:val="005C512B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64D77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5451A"/>
    <w:rsid w:val="00755C7E"/>
    <w:rsid w:val="007667DD"/>
    <w:rsid w:val="0077533B"/>
    <w:rsid w:val="00784400"/>
    <w:rsid w:val="007C1813"/>
    <w:rsid w:val="007C4328"/>
    <w:rsid w:val="007D50E0"/>
    <w:rsid w:val="007E547B"/>
    <w:rsid w:val="00805114"/>
    <w:rsid w:val="0080687A"/>
    <w:rsid w:val="0081005F"/>
    <w:rsid w:val="00815B75"/>
    <w:rsid w:val="008342DB"/>
    <w:rsid w:val="00836F07"/>
    <w:rsid w:val="00841720"/>
    <w:rsid w:val="00853A62"/>
    <w:rsid w:val="00854D32"/>
    <w:rsid w:val="0085520C"/>
    <w:rsid w:val="00857888"/>
    <w:rsid w:val="00870502"/>
    <w:rsid w:val="008735D4"/>
    <w:rsid w:val="00873C13"/>
    <w:rsid w:val="00881418"/>
    <w:rsid w:val="008824B6"/>
    <w:rsid w:val="00885B52"/>
    <w:rsid w:val="008868C4"/>
    <w:rsid w:val="008A3B63"/>
    <w:rsid w:val="008A6AD0"/>
    <w:rsid w:val="008B3961"/>
    <w:rsid w:val="008C2782"/>
    <w:rsid w:val="008E2859"/>
    <w:rsid w:val="0090405B"/>
    <w:rsid w:val="00913578"/>
    <w:rsid w:val="00915C84"/>
    <w:rsid w:val="00922B37"/>
    <w:rsid w:val="00923E53"/>
    <w:rsid w:val="009328DD"/>
    <w:rsid w:val="00942204"/>
    <w:rsid w:val="00972310"/>
    <w:rsid w:val="00982F78"/>
    <w:rsid w:val="00986CFD"/>
    <w:rsid w:val="009875B2"/>
    <w:rsid w:val="00987FC3"/>
    <w:rsid w:val="009B6D67"/>
    <w:rsid w:val="009C5777"/>
    <w:rsid w:val="009D4E77"/>
    <w:rsid w:val="009F0DFC"/>
    <w:rsid w:val="009F3445"/>
    <w:rsid w:val="00A01E39"/>
    <w:rsid w:val="00A42400"/>
    <w:rsid w:val="00A50EEB"/>
    <w:rsid w:val="00A52886"/>
    <w:rsid w:val="00A65CBF"/>
    <w:rsid w:val="00A75F4C"/>
    <w:rsid w:val="00A9584B"/>
    <w:rsid w:val="00AA13EA"/>
    <w:rsid w:val="00AB1738"/>
    <w:rsid w:val="00AE621F"/>
    <w:rsid w:val="00AE7C6A"/>
    <w:rsid w:val="00AF3542"/>
    <w:rsid w:val="00AF776F"/>
    <w:rsid w:val="00B20041"/>
    <w:rsid w:val="00B47C16"/>
    <w:rsid w:val="00B57B2A"/>
    <w:rsid w:val="00BA512C"/>
    <w:rsid w:val="00BB1F22"/>
    <w:rsid w:val="00C17DDC"/>
    <w:rsid w:val="00C3053B"/>
    <w:rsid w:val="00C5328D"/>
    <w:rsid w:val="00C81EFE"/>
    <w:rsid w:val="00CC3055"/>
    <w:rsid w:val="00CD10BF"/>
    <w:rsid w:val="00CD76C7"/>
    <w:rsid w:val="00D174D9"/>
    <w:rsid w:val="00D20A6A"/>
    <w:rsid w:val="00D34A04"/>
    <w:rsid w:val="00D441EA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3C29"/>
    <w:rsid w:val="00E47850"/>
    <w:rsid w:val="00E47D2B"/>
    <w:rsid w:val="00E5491A"/>
    <w:rsid w:val="00E61773"/>
    <w:rsid w:val="00E658DB"/>
    <w:rsid w:val="00E843D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211A"/>
    <w:rsid w:val="00FC60FB"/>
    <w:rsid w:val="00FD3BA3"/>
    <w:rsid w:val="00FD3F2B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2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20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3D3DA62-AD51-433D-83B4-CCB57D44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264</Words>
  <Characters>1413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molecular graphics to understand biological processes - answers</vt:lpstr>
    </vt:vector>
  </TitlesOfParts>
  <Company>Royal Society of Chemistry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chemistry of biological processes - answers</dc:title>
  <dc:subject>Demonstration silver acetylide as a contact explosive</dc:subject>
  <dc:creator>Royal Society of Chemistry</dc:creator>
  <dc:description>From 'Antibiotics: solving an evolving problem', Education in Chemistry, November 2018, rsc.li/2AgFK6Q</dc:description>
  <cp:lastModifiedBy>David Sait</cp:lastModifiedBy>
  <cp:revision>22</cp:revision>
  <dcterms:created xsi:type="dcterms:W3CDTF">2018-09-22T17:00:00Z</dcterms:created>
  <dcterms:modified xsi:type="dcterms:W3CDTF">2018-10-19T08:21:00Z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