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292B7183" w:rsidR="0005693A" w:rsidRDefault="00AB6834" w:rsidP="0005693A">
      <w:pPr>
        <w:pStyle w:val="Heading1"/>
      </w:pPr>
      <w:bookmarkStart w:id="0" w:name="_GoBack"/>
      <w:bookmarkEnd w:id="0"/>
      <w:r>
        <w:t>T</w:t>
      </w:r>
      <w:r w:rsidR="008664CB">
        <w:t>ooth enamel</w:t>
      </w:r>
      <w:r>
        <w:t xml:space="preserve"> solubility</w:t>
      </w:r>
    </w:p>
    <w:p w14:paraId="4FB10F87" w14:textId="127254EB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145F9">
        <w:rPr>
          <w:rStyle w:val="LeadparagraphChar"/>
        </w:rPr>
        <w:t>August</w:t>
      </w:r>
      <w:r>
        <w:rPr>
          <w:rStyle w:val="LeadparagraphChar"/>
        </w:rPr>
        <w:t xml:space="preserve"> </w:t>
      </w:r>
      <w:r w:rsidR="00A145F9">
        <w:rPr>
          <w:rStyle w:val="LeadparagraphChar"/>
        </w:rPr>
        <w:t>2019</w:t>
      </w:r>
      <w:r>
        <w:rPr>
          <w:rStyle w:val="LeadparagraphChar"/>
        </w:rPr>
        <w:br/>
      </w:r>
      <w:hyperlink r:id="rId10" w:history="1">
        <w:r w:rsidR="00A145F9" w:rsidRPr="00A145F9">
          <w:rPr>
            <w:rStyle w:val="Hyperlink"/>
          </w:rPr>
          <w:t>rsc.li/33xB7BY</w:t>
        </w:r>
      </w:hyperlink>
    </w:p>
    <w:p w14:paraId="4543D485" w14:textId="4003DA47" w:rsidR="00F273E5" w:rsidRPr="00F273E5" w:rsidRDefault="00355DCC" w:rsidP="00F273E5">
      <w:pPr>
        <w:pStyle w:val="Heading2"/>
        <w:rPr>
          <w:color w:val="auto"/>
          <w:sz w:val="20"/>
          <w:szCs w:val="20"/>
        </w:rPr>
      </w:pPr>
      <w:r w:rsidRPr="00355DCC">
        <w:rPr>
          <w:color w:val="auto"/>
          <w:sz w:val="20"/>
          <w:szCs w:val="20"/>
        </w:rPr>
        <w:t>This resource is targeted at students in the 16</w:t>
      </w:r>
      <w:r w:rsidR="00EB2E6C">
        <w:rPr>
          <w:color w:val="auto"/>
          <w:sz w:val="20"/>
          <w:szCs w:val="20"/>
        </w:rPr>
        <w:t>–</w:t>
      </w:r>
      <w:r w:rsidRPr="00355DCC">
        <w:rPr>
          <w:color w:val="auto"/>
          <w:sz w:val="20"/>
          <w:szCs w:val="20"/>
        </w:rPr>
        <w:t>18 year age range and aims to provide a context for questions about solubil</w:t>
      </w:r>
      <w:r>
        <w:rPr>
          <w:color w:val="auto"/>
          <w:sz w:val="20"/>
          <w:szCs w:val="20"/>
        </w:rPr>
        <w:t>ity and some extension material</w:t>
      </w:r>
      <w:r w:rsidR="00E622D4">
        <w:rPr>
          <w:color w:val="auto"/>
          <w:sz w:val="20"/>
          <w:szCs w:val="20"/>
        </w:rPr>
        <w:t>.</w:t>
      </w:r>
    </w:p>
    <w:p w14:paraId="4459EF29" w14:textId="65DAB1F7" w:rsidR="00253635" w:rsidRPr="00355DCC" w:rsidRDefault="00253635" w:rsidP="00253635">
      <w:pPr>
        <w:pStyle w:val="Heading2"/>
      </w:pPr>
      <w:r>
        <w:t>Questions</w:t>
      </w:r>
    </w:p>
    <w:p w14:paraId="20977A41" w14:textId="15911BC2" w:rsidR="00355DCC" w:rsidRDefault="00355DCC" w:rsidP="00355DCC">
      <w:r>
        <w:t>1. What is the definition of ‘solubility’?</w:t>
      </w:r>
    </w:p>
    <w:p w14:paraId="6E39C8B5" w14:textId="539342B1" w:rsidR="00355DCC" w:rsidRDefault="00355DCC" w:rsidP="00355DCC">
      <w:r>
        <w:t>2. (</w:t>
      </w:r>
      <w:proofErr w:type="gramStart"/>
      <w:r>
        <w:t>a</w:t>
      </w:r>
      <w:proofErr w:type="gramEnd"/>
      <w:r>
        <w:t>) Write down the chemical equation for the equilibrium between solid calcium carbonate and its dissolved ions.</w:t>
      </w:r>
    </w:p>
    <w:p w14:paraId="39D5B154" w14:textId="77777777" w:rsidR="00355DCC" w:rsidRDefault="00355DCC" w:rsidP="00355DCC">
      <w:r>
        <w:t xml:space="preserve">(b) Write an equation for the solubility product </w:t>
      </w:r>
      <w:proofErr w:type="spellStart"/>
      <w:r>
        <w:t>K</w:t>
      </w:r>
      <w:r w:rsidRPr="00355DCC">
        <w:rPr>
          <w:vertAlign w:val="subscript"/>
        </w:rPr>
        <w:t>sp</w:t>
      </w:r>
      <w:proofErr w:type="spellEnd"/>
      <w:r>
        <w:t xml:space="preserve"> of calcium carbonate.</w:t>
      </w:r>
    </w:p>
    <w:p w14:paraId="5600BACE" w14:textId="6EC1590C" w:rsidR="00355DCC" w:rsidRDefault="00355DCC" w:rsidP="00355DCC">
      <w:r>
        <w:t>(c) The solubility of calciu</w:t>
      </w:r>
      <w:r w:rsidR="00093F53">
        <w:t xml:space="preserve">m carbonate in water is 0.67 mg per </w:t>
      </w:r>
      <w:r>
        <w:t xml:space="preserve">100 ml, use this to calculate the solubility product </w:t>
      </w:r>
      <w:proofErr w:type="spellStart"/>
      <w:r>
        <w:t>K</w:t>
      </w:r>
      <w:r w:rsidRPr="00093F53">
        <w:rPr>
          <w:vertAlign w:val="subscript"/>
        </w:rPr>
        <w:t>sp</w:t>
      </w:r>
      <w:proofErr w:type="spellEnd"/>
      <w:r>
        <w:t>.</w:t>
      </w:r>
    </w:p>
    <w:p w14:paraId="750B6220" w14:textId="77777777" w:rsidR="00355DCC" w:rsidRDefault="00355DCC" w:rsidP="00355DCC">
      <w:r>
        <w:t xml:space="preserve">3. Researchers have measured the solubility product of hydroxyapatite (HAP) </w:t>
      </w:r>
      <w:proofErr w:type="gramStart"/>
      <w:r>
        <w:t>Ca</w:t>
      </w:r>
      <w:r w:rsidRPr="00093F53">
        <w:rPr>
          <w:vertAlign w:val="subscript"/>
        </w:rPr>
        <w:t>10</w:t>
      </w:r>
      <w:r>
        <w:t>(</w:t>
      </w:r>
      <w:proofErr w:type="gramEnd"/>
      <w:r>
        <w:t>PO</w:t>
      </w:r>
      <w:r w:rsidRPr="00093F53">
        <w:rPr>
          <w:vertAlign w:val="subscript"/>
        </w:rPr>
        <w:t>4</w:t>
      </w:r>
      <w:r>
        <w:t>)</w:t>
      </w:r>
      <w:r w:rsidRPr="00093F53">
        <w:rPr>
          <w:vertAlign w:val="subscript"/>
        </w:rPr>
        <w:t>6</w:t>
      </w:r>
      <w:r>
        <w:t>(OH)</w:t>
      </w:r>
      <w:r w:rsidRPr="00093F53">
        <w:rPr>
          <w:vertAlign w:val="subscript"/>
        </w:rPr>
        <w:t>2</w:t>
      </w:r>
      <w:r>
        <w:t xml:space="preserve"> using a variety of different methods. </w:t>
      </w:r>
    </w:p>
    <w:p w14:paraId="50C0580A" w14:textId="425B023D" w:rsidR="00355DCC" w:rsidRDefault="00355DCC" w:rsidP="00355DCC">
      <w:r>
        <w:t xml:space="preserve">(a) </w:t>
      </w:r>
      <w:r w:rsidR="00F273E5">
        <w:t>Given the equation below, write</w:t>
      </w:r>
      <w:r>
        <w:t xml:space="preserve"> an expression for </w:t>
      </w:r>
      <w:r w:rsidR="00093F53">
        <w:t>the solubility product of HAP.</w:t>
      </w:r>
    </w:p>
    <w:p w14:paraId="53B919DD" w14:textId="3433CDA6" w:rsidR="00253635" w:rsidRPr="00F273E5" w:rsidRDefault="00015ECA" w:rsidP="00355DCC">
      <w:pPr>
        <w:rPr>
          <w:vertAlign w:val="superscript"/>
        </w:rPr>
      </w:pPr>
      <w:proofErr w:type="gramStart"/>
      <w:r w:rsidRPr="00F273E5">
        <w:t>Ca</w:t>
      </w:r>
      <w:r w:rsidRPr="00F273E5">
        <w:rPr>
          <w:vertAlign w:val="subscript"/>
        </w:rPr>
        <w:t>10</w:t>
      </w:r>
      <w:r w:rsidRPr="00F273E5">
        <w:t>(</w:t>
      </w:r>
      <w:proofErr w:type="gramEnd"/>
      <w:r w:rsidRPr="00F273E5">
        <w:t>PO</w:t>
      </w:r>
      <w:r w:rsidRPr="00F273E5">
        <w:rPr>
          <w:vertAlign w:val="subscript"/>
        </w:rPr>
        <w:t>4</w:t>
      </w:r>
      <w:r w:rsidRPr="00F273E5">
        <w:t>)</w:t>
      </w:r>
      <w:r w:rsidRPr="00F273E5">
        <w:rPr>
          <w:vertAlign w:val="subscript"/>
        </w:rPr>
        <w:t>6</w:t>
      </w:r>
      <w:r w:rsidRPr="00F273E5">
        <w:t>(OH)</w:t>
      </w:r>
      <w:r w:rsidRPr="00F273E5">
        <w:rPr>
          <w:vertAlign w:val="subscript"/>
        </w:rPr>
        <w:t xml:space="preserve">2 </w:t>
      </w:r>
      <w:r w:rsidR="00F273E5" w:rsidRPr="00F273E5">
        <w:rPr>
          <w:rFonts w:ascii="Cambria Math" w:hAnsi="Cambria Math" w:cs="Cambria Math"/>
        </w:rPr>
        <w:t>⇄</w:t>
      </w:r>
      <w:r w:rsidR="00F273E5" w:rsidRPr="00F273E5">
        <w:t xml:space="preserve"> 10</w:t>
      </w:r>
      <w:r w:rsidR="00F273E5">
        <w:t>Ca</w:t>
      </w:r>
      <w:r w:rsidR="00F273E5" w:rsidRPr="00F273E5">
        <w:rPr>
          <w:vertAlign w:val="superscript"/>
        </w:rPr>
        <w:t>2+</w:t>
      </w:r>
      <w:r w:rsidR="00F273E5">
        <w:rPr>
          <w:vertAlign w:val="superscript"/>
        </w:rPr>
        <w:t xml:space="preserve"> </w:t>
      </w:r>
      <w:r w:rsidR="00F273E5">
        <w:t>+ 6PO</w:t>
      </w:r>
      <w:r w:rsidR="00F273E5">
        <w:rPr>
          <w:vertAlign w:val="subscript"/>
        </w:rPr>
        <w:t>4</w:t>
      </w:r>
      <w:r w:rsidR="00F273E5">
        <w:rPr>
          <w:vertAlign w:val="superscript"/>
        </w:rPr>
        <w:t>3-</w:t>
      </w:r>
      <w:r w:rsidR="00F273E5">
        <w:t xml:space="preserve"> + 2OH</w:t>
      </w:r>
      <w:r w:rsidR="00F273E5">
        <w:rPr>
          <w:vertAlign w:val="superscript"/>
        </w:rPr>
        <w:t>-</w:t>
      </w:r>
    </w:p>
    <w:p w14:paraId="7DFE5F8E" w14:textId="305D1A91" w:rsidR="00355DCC" w:rsidRDefault="00355DCC" w:rsidP="00355DCC">
      <w:r>
        <w:t xml:space="preserve">(b) When the concentration of calcium is low (less than 30 </w:t>
      </w:r>
      <w:proofErr w:type="spellStart"/>
      <w:r>
        <w:t>mM</w:t>
      </w:r>
      <w:proofErr w:type="spellEnd"/>
      <w:r>
        <w:t>), the hydroxyapatite demineralises (</w:t>
      </w:r>
      <w:proofErr w:type="spellStart"/>
      <w:r w:rsidR="00F42A21">
        <w:t>ie</w:t>
      </w:r>
      <w:proofErr w:type="spellEnd"/>
      <w:r>
        <w:t xml:space="preserve"> it dissolves). Explain why this occurs, with reference to the equilibrium above. How might you promote remineralisation (</w:t>
      </w:r>
      <w:proofErr w:type="spellStart"/>
      <w:r>
        <w:t>i</w:t>
      </w:r>
      <w:r w:rsidR="00F42A21">
        <w:t>e</w:t>
      </w:r>
      <w:proofErr w:type="spellEnd"/>
      <w:r>
        <w:t xml:space="preserve"> precipitation of the hydroxyapatite)?</w:t>
      </w:r>
    </w:p>
    <w:p w14:paraId="26A59D79" w14:textId="3340A277" w:rsidR="00355DCC" w:rsidRDefault="00355DCC" w:rsidP="00355DCC">
      <w:r>
        <w:t xml:space="preserve">(c) </w:t>
      </w:r>
      <w:r w:rsidR="00F42A21">
        <w:t xml:space="preserve">[Extension question] </w:t>
      </w:r>
      <w:r>
        <w:t xml:space="preserve">The solubility product for </w:t>
      </w:r>
      <w:proofErr w:type="gramStart"/>
      <w:r>
        <w:t>Ca</w:t>
      </w:r>
      <w:r w:rsidRPr="00F42A21">
        <w:rPr>
          <w:vertAlign w:val="subscript"/>
        </w:rPr>
        <w:t>3</w:t>
      </w:r>
      <w:r>
        <w:t>(</w:t>
      </w:r>
      <w:proofErr w:type="gramEnd"/>
      <w:r>
        <w:t>PO</w:t>
      </w:r>
      <w:r w:rsidRPr="00F42A21">
        <w:rPr>
          <w:vertAlign w:val="subscript"/>
        </w:rPr>
        <w:t>4</w:t>
      </w:r>
      <w:r>
        <w:t>)</w:t>
      </w:r>
      <w:r w:rsidRPr="00F42A21">
        <w:rPr>
          <w:vertAlign w:val="subscript"/>
        </w:rPr>
        <w:t>2</w:t>
      </w:r>
      <w:r>
        <w:t xml:space="preserve"> is 2.07 </w:t>
      </w:r>
      <m:oMath>
        <m:r>
          <w:rPr>
            <w:rFonts w:ascii="Cambria Math" w:hAnsi="Cambria Math"/>
          </w:rPr>
          <m:t>×</m:t>
        </m:r>
      </m:oMath>
      <w:r>
        <w:t xml:space="preserve"> 10</w:t>
      </w:r>
      <w:r w:rsidRPr="00F42A21">
        <w:rPr>
          <w:vertAlign w:val="superscript"/>
        </w:rPr>
        <w:t>-33</w:t>
      </w:r>
      <w:r>
        <w:t xml:space="preserve"> M. Show that the concentration of calcium at equilibrium is 3.4 </w:t>
      </w:r>
      <m:oMath>
        <m:r>
          <w:rPr>
            <w:rFonts w:ascii="Cambria Math" w:hAnsi="Cambria Math"/>
          </w:rPr>
          <m:t>×</m:t>
        </m:r>
      </m:oMath>
      <w:r>
        <w:t xml:space="preserve"> 10</w:t>
      </w:r>
      <w:r w:rsidRPr="00F42A21">
        <w:rPr>
          <w:vertAlign w:val="superscript"/>
        </w:rPr>
        <w:t>-7</w:t>
      </w:r>
      <w:r>
        <w:t xml:space="preserve"> M. </w:t>
      </w:r>
    </w:p>
    <w:p w14:paraId="3A9700D3" w14:textId="1EA79DE4" w:rsidR="00355DCC" w:rsidRDefault="00355DCC" w:rsidP="00355DCC">
      <w:r>
        <w:t xml:space="preserve">4. When you eat sugary foods, </w:t>
      </w:r>
      <w:r w:rsidR="00253635">
        <w:t xml:space="preserve">some oral </w:t>
      </w:r>
      <w:r>
        <w:t xml:space="preserve">bacteria produce lactic acid. </w:t>
      </w:r>
    </w:p>
    <w:p w14:paraId="4E077EA3" w14:textId="77777777" w:rsidR="00355DCC" w:rsidRDefault="00355DCC" w:rsidP="00355DCC">
      <w:r>
        <w:t>(a) What effect might this have on the pH of your saliva?</w:t>
      </w:r>
    </w:p>
    <w:p w14:paraId="109200D8" w14:textId="77777777" w:rsidR="00355DCC" w:rsidRDefault="00355DCC" w:rsidP="00355DCC">
      <w:r>
        <w:t>(b) Saliva contains bicarbonate ions. What effect will this have on the pH of saliva in the presence of bacteria?</w:t>
      </w:r>
    </w:p>
    <w:p w14:paraId="4C3718D6" w14:textId="5A6D9780" w:rsidR="00355DCC" w:rsidRDefault="00355DCC" w:rsidP="00355DCC">
      <w:r>
        <w:t xml:space="preserve">(c) Saliva also contains a protein called </w:t>
      </w:r>
      <w:proofErr w:type="spellStart"/>
      <w:r>
        <w:t>statherin</w:t>
      </w:r>
      <w:proofErr w:type="spellEnd"/>
      <w:r w:rsidR="00253635">
        <w:t>,</w:t>
      </w:r>
      <w:r>
        <w:t xml:space="preserve"> which has </w:t>
      </w:r>
      <w:r w:rsidR="00253635">
        <w:t>stretches of glutamate or aspar</w:t>
      </w:r>
      <w:r>
        <w:t>tate amino acids. How might these amino acid side chains interact with calcium ions?</w:t>
      </w:r>
    </w:p>
    <w:p w14:paraId="78C0B6AF" w14:textId="77777777" w:rsidR="00355DCC" w:rsidRDefault="00355DCC" w:rsidP="00355DCC">
      <w:r>
        <w:t xml:space="preserve">(d) It is thought that the presence of </w:t>
      </w:r>
      <w:proofErr w:type="spellStart"/>
      <w:r>
        <w:t>statherin</w:t>
      </w:r>
      <w:proofErr w:type="spellEnd"/>
      <w:r>
        <w:t xml:space="preserve"> allows the calcium ions to become supersaturated in saliva. What effect would you expect this to have on the mineralisation or demineralisation of the tooth enamel?</w:t>
      </w:r>
    </w:p>
    <w:p w14:paraId="0B4564A1" w14:textId="77777777" w:rsidR="00253635" w:rsidRDefault="00253635">
      <w:pPr>
        <w:keepLines w:val="0"/>
        <w:spacing w:before="200" w:after="0"/>
      </w:pPr>
      <w:r>
        <w:br w:type="page"/>
      </w:r>
    </w:p>
    <w:p w14:paraId="142D5BD3" w14:textId="5B4F4636" w:rsidR="00355DCC" w:rsidRDefault="00355DCC" w:rsidP="00253635">
      <w:pPr>
        <w:pStyle w:val="Heading2"/>
      </w:pPr>
      <w:r>
        <w:lastRenderedPageBreak/>
        <w:t>Answers</w:t>
      </w:r>
    </w:p>
    <w:p w14:paraId="2B28780F" w14:textId="23E54AA7" w:rsidR="00355DCC" w:rsidRDefault="00355DCC" w:rsidP="00355DCC">
      <w:r>
        <w:t>1. Solubility is the amount of a solid that can dissolve into a unit volume of solution</w:t>
      </w:r>
      <w:r w:rsidR="00CC6439">
        <w:t>.</w:t>
      </w:r>
    </w:p>
    <w:p w14:paraId="4A929916" w14:textId="230F29A3" w:rsidR="00355DCC" w:rsidRDefault="00CC6439" w:rsidP="00355DCC">
      <w:r>
        <w:t>2</w:t>
      </w:r>
      <w:r w:rsidR="00420A5E">
        <w:t xml:space="preserve">. </w:t>
      </w:r>
      <w:r>
        <w:t>(</w:t>
      </w:r>
      <w:proofErr w:type="gramStart"/>
      <w:r>
        <w:t>a</w:t>
      </w:r>
      <w:proofErr w:type="gramEnd"/>
      <w:r>
        <w:t xml:space="preserve">) </w:t>
      </w:r>
      <w:r w:rsidR="00355DCC">
        <w:t>CaCO</w:t>
      </w:r>
      <w:r w:rsidR="00355DCC" w:rsidRPr="003A3955">
        <w:rPr>
          <w:vertAlign w:val="subscript"/>
        </w:rPr>
        <w:t>3</w:t>
      </w:r>
      <w:r w:rsidR="00B538F0" w:rsidRPr="00420A5E">
        <w:rPr>
          <w:vertAlign w:val="subscript"/>
        </w:rPr>
        <w:t>(s)</w:t>
      </w:r>
      <w:r w:rsidR="00B538F0">
        <w:t xml:space="preserve"> </w:t>
      </w:r>
      <w:r w:rsidR="00B538F0" w:rsidRPr="00F273E5">
        <w:rPr>
          <w:rFonts w:ascii="Cambria Math" w:hAnsi="Cambria Math" w:cs="Cambria Math"/>
        </w:rPr>
        <w:t>⇄</w:t>
      </w:r>
      <w:r w:rsidR="00B538F0">
        <w:rPr>
          <w:rFonts w:ascii="Cambria Math" w:hAnsi="Cambria Math" w:cs="Cambria Math"/>
        </w:rPr>
        <w:t xml:space="preserve"> </w:t>
      </w:r>
      <w:r w:rsidR="00355DCC">
        <w:t>Ca</w:t>
      </w:r>
      <w:r w:rsidR="00355DCC" w:rsidRPr="003A3955">
        <w:rPr>
          <w:vertAlign w:val="superscript"/>
        </w:rPr>
        <w:t>2+</w:t>
      </w:r>
      <w:r w:rsidR="00355DCC" w:rsidRPr="003A3955">
        <w:rPr>
          <w:vertAlign w:val="subscript"/>
        </w:rPr>
        <w:t>(</w:t>
      </w:r>
      <w:proofErr w:type="spellStart"/>
      <w:r w:rsidR="00355DCC" w:rsidRPr="003A3955">
        <w:rPr>
          <w:vertAlign w:val="subscript"/>
        </w:rPr>
        <w:t>aq</w:t>
      </w:r>
      <w:proofErr w:type="spellEnd"/>
      <w:r w:rsidR="00355DCC" w:rsidRPr="003A3955">
        <w:rPr>
          <w:vertAlign w:val="subscript"/>
        </w:rPr>
        <w:t>)</w:t>
      </w:r>
      <w:r>
        <w:t xml:space="preserve"> +</w:t>
      </w:r>
      <w:r w:rsidR="00355DCC">
        <w:t xml:space="preserve"> CO</w:t>
      </w:r>
      <w:r w:rsidR="00355DCC" w:rsidRPr="003A3955">
        <w:rPr>
          <w:vertAlign w:val="subscript"/>
        </w:rPr>
        <w:t>3</w:t>
      </w:r>
      <w:r w:rsidR="00355DCC" w:rsidRPr="003A3955">
        <w:rPr>
          <w:vertAlign w:val="superscript"/>
        </w:rPr>
        <w:t>2-</w:t>
      </w:r>
      <w:r w:rsidR="00355DCC" w:rsidRPr="003A3955">
        <w:rPr>
          <w:vertAlign w:val="subscript"/>
        </w:rPr>
        <w:t>(</w:t>
      </w:r>
      <w:proofErr w:type="spellStart"/>
      <w:r w:rsidR="00355DCC" w:rsidRPr="003A3955">
        <w:rPr>
          <w:vertAlign w:val="subscript"/>
        </w:rPr>
        <w:t>aq</w:t>
      </w:r>
      <w:proofErr w:type="spellEnd"/>
      <w:r w:rsidR="00355DCC" w:rsidRPr="003A3955">
        <w:rPr>
          <w:vertAlign w:val="subscript"/>
        </w:rPr>
        <w:t>)</w:t>
      </w:r>
      <w:r w:rsidR="00355DCC">
        <w:t xml:space="preserve">  </w:t>
      </w:r>
    </w:p>
    <w:p w14:paraId="7507BF53" w14:textId="58CA8AFC" w:rsidR="00355DCC" w:rsidRPr="003A3955" w:rsidRDefault="003A3955" w:rsidP="00355DCC">
      <w:r>
        <w:t xml:space="preserve">(b) </w:t>
      </w:r>
      <w:proofErr w:type="spellStart"/>
      <w:r w:rsidRPr="003A3955">
        <w:t>K</w:t>
      </w:r>
      <w:r w:rsidR="00355DCC" w:rsidRPr="003A3955">
        <w:rPr>
          <w:vertAlign w:val="subscript"/>
        </w:rPr>
        <w:t>sp</w:t>
      </w:r>
      <w:proofErr w:type="spellEnd"/>
      <w:r>
        <w:t xml:space="preserve"> = [Ca</w:t>
      </w:r>
      <w:r>
        <w:rPr>
          <w:vertAlign w:val="superscript"/>
        </w:rPr>
        <w:t>2+</w:t>
      </w:r>
      <w:proofErr w:type="gramStart"/>
      <w:r>
        <w:t>][</w:t>
      </w:r>
      <w:proofErr w:type="gramEnd"/>
      <w:r>
        <w:t>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>]</w:t>
      </w:r>
    </w:p>
    <w:p w14:paraId="4543C74B" w14:textId="31F5B2E9" w:rsidR="00355DCC" w:rsidRDefault="00355DCC" w:rsidP="00355DCC">
      <w:r>
        <w:t>(c) The relative formula mass of CaCO</w:t>
      </w:r>
      <w:r w:rsidRPr="003A3955">
        <w:rPr>
          <w:vertAlign w:val="subscript"/>
        </w:rPr>
        <w:t>3</w:t>
      </w:r>
      <w:r>
        <w:t xml:space="preserve"> is 100. </w:t>
      </w:r>
    </w:p>
    <w:p w14:paraId="544150B3" w14:textId="3AC30547" w:rsidR="00355DCC" w:rsidRDefault="00355DCC" w:rsidP="00355DCC">
      <w:r>
        <w:t>0.67 mg</w:t>
      </w:r>
      <w:r w:rsidR="003A3955">
        <w:t xml:space="preserve"> </w:t>
      </w:r>
      <w:r>
        <w:t>/</w:t>
      </w:r>
      <w:r w:rsidR="003A3955">
        <w:t xml:space="preserve"> </w:t>
      </w:r>
      <w:r>
        <w:t>100</w:t>
      </w:r>
      <w:r w:rsidR="003A3955">
        <w:t xml:space="preserve"> </w:t>
      </w:r>
      <w:r>
        <w:t>ml = 6.7 x 10-5 mol.dm</w:t>
      </w:r>
      <w:r w:rsidRPr="003A3955">
        <w:rPr>
          <w:vertAlign w:val="superscript"/>
        </w:rPr>
        <w:t>-3</w:t>
      </w:r>
      <w:r>
        <w:t xml:space="preserve"> </w:t>
      </w:r>
    </w:p>
    <w:p w14:paraId="68C1D5AA" w14:textId="3C3F5BAB" w:rsidR="00355DCC" w:rsidRDefault="003A3955" w:rsidP="00355DCC">
      <w:r>
        <w:t>[Ca</w:t>
      </w:r>
      <w:r>
        <w:rPr>
          <w:vertAlign w:val="superscript"/>
        </w:rPr>
        <w:t>2+</w:t>
      </w:r>
      <w:r>
        <w:t>][CO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>] =</w:t>
      </w:r>
      <w:r w:rsidR="00355DCC">
        <w:t xml:space="preserve"> 6.7 x 10</w:t>
      </w:r>
      <w:r w:rsidR="00355DCC" w:rsidRPr="003A3955">
        <w:rPr>
          <w:vertAlign w:val="superscript"/>
        </w:rPr>
        <w:t>-5</w:t>
      </w:r>
      <w:r w:rsidR="00355DCC">
        <w:t xml:space="preserve"> x 6.7 x 10</w:t>
      </w:r>
      <w:r w:rsidR="00355DCC" w:rsidRPr="003A3955">
        <w:rPr>
          <w:vertAlign w:val="superscript"/>
        </w:rPr>
        <w:t>-5</w:t>
      </w:r>
      <w:r w:rsidR="00355DCC">
        <w:t xml:space="preserve"> = 4.5 x 10</w:t>
      </w:r>
      <w:r w:rsidR="00355DCC" w:rsidRPr="003A3955">
        <w:rPr>
          <w:vertAlign w:val="superscript"/>
        </w:rPr>
        <w:t>-9</w:t>
      </w:r>
      <w:r w:rsidR="00355DCC">
        <w:t xml:space="preserve"> mol</w:t>
      </w:r>
      <w:r w:rsidR="00355DCC" w:rsidRPr="003A3955">
        <w:rPr>
          <w:vertAlign w:val="superscript"/>
        </w:rPr>
        <w:t>2</w:t>
      </w:r>
      <w:r w:rsidR="00355DCC">
        <w:t>.dm</w:t>
      </w:r>
      <w:r w:rsidR="00355DCC" w:rsidRPr="003A3955">
        <w:rPr>
          <w:vertAlign w:val="superscript"/>
        </w:rPr>
        <w:t>-6</w:t>
      </w:r>
    </w:p>
    <w:p w14:paraId="6F2ED783" w14:textId="3BD9D549" w:rsidR="00355DCC" w:rsidRPr="003A3955" w:rsidRDefault="00355DCC" w:rsidP="00355DCC">
      <w:r>
        <w:t>3</w:t>
      </w:r>
      <w:r w:rsidR="00420A5E">
        <w:t xml:space="preserve">. </w:t>
      </w:r>
      <w:r>
        <w:t>(</w:t>
      </w:r>
      <w:proofErr w:type="gramStart"/>
      <w:r>
        <w:t>a</w:t>
      </w:r>
      <w:proofErr w:type="gramEnd"/>
      <w:r>
        <w:t xml:space="preserve">) </w:t>
      </w:r>
      <w:proofErr w:type="spellStart"/>
      <w:r w:rsidR="003A3955">
        <w:t>K</w:t>
      </w:r>
      <w:r w:rsidR="003A3955">
        <w:rPr>
          <w:vertAlign w:val="subscript"/>
        </w:rPr>
        <w:t>sp</w:t>
      </w:r>
      <w:proofErr w:type="spellEnd"/>
      <w:r w:rsidR="003A3955">
        <w:t xml:space="preserve"> = [Ca</w:t>
      </w:r>
      <w:r w:rsidR="003A3955">
        <w:rPr>
          <w:vertAlign w:val="superscript"/>
        </w:rPr>
        <w:t>2+</w:t>
      </w:r>
      <w:r w:rsidR="003A3955">
        <w:t>]</w:t>
      </w:r>
      <w:r w:rsidR="003A3955">
        <w:rPr>
          <w:vertAlign w:val="superscript"/>
        </w:rPr>
        <w:t>10</w:t>
      </w:r>
      <w:r w:rsidR="003A3955">
        <w:t>[PO</w:t>
      </w:r>
      <w:r w:rsidR="003A3955">
        <w:rPr>
          <w:vertAlign w:val="subscript"/>
        </w:rPr>
        <w:t>4</w:t>
      </w:r>
      <w:r w:rsidR="003A3955">
        <w:rPr>
          <w:vertAlign w:val="superscript"/>
        </w:rPr>
        <w:t>3-</w:t>
      </w:r>
      <w:r w:rsidR="003A3955">
        <w:t>]</w:t>
      </w:r>
      <w:r w:rsidR="003A3955">
        <w:rPr>
          <w:vertAlign w:val="superscript"/>
        </w:rPr>
        <w:t>6</w:t>
      </w:r>
      <w:r w:rsidR="003A3955">
        <w:t>[OH]</w:t>
      </w:r>
      <w:r w:rsidR="003A3955">
        <w:rPr>
          <w:vertAlign w:val="superscript"/>
        </w:rPr>
        <w:t>2</w:t>
      </w:r>
    </w:p>
    <w:p w14:paraId="730EA6FC" w14:textId="3A8154AF" w:rsidR="00355DCC" w:rsidRDefault="00355DCC" w:rsidP="00355DCC">
      <w:r>
        <w:t>(b) When the concentration of calcium is low the hydroxyapatite dissolves to re-establish the equilibrium</w:t>
      </w:r>
      <w:r w:rsidR="003A3955">
        <w:t>.</w:t>
      </w:r>
    </w:p>
    <w:p w14:paraId="14290F0E" w14:textId="2B8A2780" w:rsidR="00355DCC" w:rsidRDefault="00355DCC" w:rsidP="00355DCC">
      <w:r>
        <w:t>(c) Let the concentration of Ca</w:t>
      </w:r>
      <w:r w:rsidRPr="003A3955">
        <w:rPr>
          <w:vertAlign w:val="superscript"/>
        </w:rPr>
        <w:t>2+</w:t>
      </w:r>
      <w:r>
        <w:t xml:space="preserve"> be</w:t>
      </w:r>
      <w:r w:rsidR="001703AB">
        <w:t xml:space="preserve"> 3</w:t>
      </w:r>
      <m:oMath>
        <m:r>
          <w:rPr>
            <w:rFonts w:ascii="Cambria Math" w:hAnsi="Cambria Math"/>
          </w:rPr>
          <m:t>x</m:t>
        </m:r>
      </m:oMath>
      <w:r>
        <w:t xml:space="preserve"> and the concentration of PO</w:t>
      </w:r>
      <w:r w:rsidRPr="003A3955">
        <w:rPr>
          <w:vertAlign w:val="subscript"/>
        </w:rPr>
        <w:t>4</w:t>
      </w:r>
      <w:r w:rsidRPr="003A3955">
        <w:rPr>
          <w:vertAlign w:val="superscript"/>
        </w:rPr>
        <w:t>3-</w:t>
      </w:r>
      <w:r w:rsidR="001703AB">
        <w:t xml:space="preserve"> be 2</w:t>
      </w:r>
      <m:oMath>
        <m:r>
          <w:rPr>
            <w:rFonts w:ascii="Cambria Math" w:hAnsi="Cambria Math"/>
          </w:rPr>
          <m:t>x</m:t>
        </m:r>
      </m:oMath>
      <w:r w:rsidR="00B538F0">
        <w:t>.</w:t>
      </w:r>
    </w:p>
    <w:p w14:paraId="6B1E4216" w14:textId="022DE69F" w:rsidR="008658F3" w:rsidRPr="00CC6439" w:rsidRDefault="00F07FCE" w:rsidP="008658F3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sp</m:t>
              </m:r>
            </m:sub>
          </m:sSub>
          <m:r>
            <w:rPr>
              <w:rFonts w:ascii="Cambria Math" w:hAnsi="Cambria Math"/>
            </w:rPr>
            <m:t>=[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Ca</m:t>
              </m:r>
            </m:e>
            <m:sup>
              <m:r>
                <w:rPr>
                  <w:rFonts w:ascii="Cambria Math" w:hAnsi="Cambria Math"/>
                </w:rPr>
                <m:t>2+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]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3-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(2x)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2DA46CC" w14:textId="01B3531C" w:rsidR="008658F3" w:rsidRPr="00CC6439" w:rsidRDefault="00CC6439" w:rsidP="008658F3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2.07×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-33</m:t>
              </m:r>
            </m:sup>
          </m:sSup>
          <m:r>
            <w:rPr>
              <w:rFonts w:ascii="Cambria Math" w:hAnsi="Cambria Math"/>
            </w:rPr>
            <m:t>=108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14:paraId="0ADABCE1" w14:textId="3C5F9CBC" w:rsidR="008658F3" w:rsidRPr="00CC6439" w:rsidRDefault="008658F3" w:rsidP="008658F3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1.92×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-35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14:paraId="26B6AA5F" w14:textId="7AE85AD0" w:rsidR="009C5ABF" w:rsidRDefault="00CC6439" w:rsidP="00355DCC">
      <m:oMathPara>
        <m:oMath>
          <m:r>
            <w:rPr>
              <w:rFonts w:ascii="Cambria Math" w:hAnsi="Cambria Math"/>
            </w:rPr>
            <m:t>1.14×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r>
            <w:rPr>
              <w:rFonts w:ascii="Cambria Math" w:hAnsi="Cambria Math"/>
            </w:rPr>
            <m:t>M=x</m:t>
          </m:r>
        </m:oMath>
      </m:oMathPara>
    </w:p>
    <w:p w14:paraId="69A3B6F0" w14:textId="2A8CE874" w:rsidR="00355DCC" w:rsidRPr="00CC6439" w:rsidRDefault="00355DCC" w:rsidP="00355DCC">
      <w:r>
        <w:t>The concentration of Ca</w:t>
      </w:r>
      <w:r w:rsidRPr="009C5ABF">
        <w:rPr>
          <w:vertAlign w:val="superscript"/>
        </w:rPr>
        <w:t>2+</w:t>
      </w:r>
      <w:r>
        <w:t xml:space="preserve"> is 3 </w:t>
      </w:r>
      <m:oMath>
        <m:r>
          <w:rPr>
            <w:rFonts w:ascii="Cambria Math" w:hAnsi="Cambria Math"/>
          </w:rPr>
          <m:t>×</m:t>
        </m:r>
      </m:oMath>
      <w:r>
        <w:t xml:space="preserve"> 1.14 </w:t>
      </w:r>
      <m:oMath>
        <m:r>
          <w:rPr>
            <w:rFonts w:ascii="Cambria Math" w:hAnsi="Cambria Math"/>
          </w:rPr>
          <m:t>×</m:t>
        </m:r>
      </m:oMath>
      <w:r>
        <w:t xml:space="preserve"> 10</w:t>
      </w:r>
      <w:r w:rsidRPr="009C5ABF">
        <w:rPr>
          <w:vertAlign w:val="superscript"/>
        </w:rPr>
        <w:t>-7</w:t>
      </w:r>
      <w:r>
        <w:t xml:space="preserve"> = 3.42 </w:t>
      </w:r>
      <m:oMath>
        <m:r>
          <w:rPr>
            <w:rFonts w:ascii="Cambria Math" w:hAnsi="Cambria Math"/>
          </w:rPr>
          <m:t>×</m:t>
        </m:r>
      </m:oMath>
      <w:r>
        <w:t xml:space="preserve"> 10</w:t>
      </w:r>
      <w:r w:rsidRPr="009C5ABF">
        <w:rPr>
          <w:vertAlign w:val="superscript"/>
        </w:rPr>
        <w:t>-7</w:t>
      </w:r>
      <w:r w:rsidR="009C5ABF">
        <w:t xml:space="preserve"> mol.dm</w:t>
      </w:r>
      <w:r w:rsidR="009C5ABF" w:rsidRPr="00CC6439">
        <w:rPr>
          <w:vertAlign w:val="superscript"/>
        </w:rPr>
        <w:t>-3</w:t>
      </w:r>
      <w:r w:rsidR="009C5ABF">
        <w:t xml:space="preserve"> </w:t>
      </w:r>
      <w:r>
        <w:t>and the concentration of PO</w:t>
      </w:r>
      <w:r w:rsidRPr="00CC6439">
        <w:rPr>
          <w:vertAlign w:val="subscript"/>
        </w:rPr>
        <w:t>4</w:t>
      </w:r>
      <w:r w:rsidRPr="00CC6439">
        <w:rPr>
          <w:vertAlign w:val="superscript"/>
        </w:rPr>
        <w:t>3-</w:t>
      </w:r>
      <w:r>
        <w:t xml:space="preserve"> is </w:t>
      </w:r>
      <w:r w:rsidR="00E622D4">
        <w:br/>
      </w:r>
      <w:r>
        <w:t xml:space="preserve">2 </w:t>
      </w:r>
      <m:oMath>
        <m:r>
          <w:rPr>
            <w:rFonts w:ascii="Cambria Math" w:hAnsi="Cambria Math"/>
          </w:rPr>
          <m:t>×</m:t>
        </m:r>
      </m:oMath>
      <w:r>
        <w:t xml:space="preserve"> 1.14 </w:t>
      </w:r>
      <m:oMath>
        <m:r>
          <w:rPr>
            <w:rFonts w:ascii="Cambria Math" w:hAnsi="Cambria Math"/>
          </w:rPr>
          <m:t>×</m:t>
        </m:r>
      </m:oMath>
      <w:r>
        <w:t xml:space="preserve"> 10</w:t>
      </w:r>
      <w:r w:rsidRPr="00CC6439">
        <w:rPr>
          <w:vertAlign w:val="superscript"/>
        </w:rPr>
        <w:t>-7</w:t>
      </w:r>
      <w:r>
        <w:t xml:space="preserve"> = 2.28 </w:t>
      </w:r>
      <m:oMath>
        <m:r>
          <w:rPr>
            <w:rFonts w:ascii="Cambria Math" w:hAnsi="Cambria Math"/>
          </w:rPr>
          <m:t>×</m:t>
        </m:r>
      </m:oMath>
      <w:r>
        <w:t xml:space="preserve"> 10</w:t>
      </w:r>
      <w:r w:rsidRPr="00CC6439">
        <w:rPr>
          <w:vertAlign w:val="superscript"/>
        </w:rPr>
        <w:t>-7</w:t>
      </w:r>
      <w:r>
        <w:t xml:space="preserve"> mol.dm</w:t>
      </w:r>
      <w:r w:rsidRPr="00CC6439">
        <w:rPr>
          <w:vertAlign w:val="superscript"/>
        </w:rPr>
        <w:t>-3</w:t>
      </w:r>
      <w:r w:rsidR="00CC6439">
        <w:t>.</w:t>
      </w:r>
    </w:p>
    <w:p w14:paraId="48AE1371" w14:textId="03D6D43F" w:rsidR="00355DCC" w:rsidRDefault="00355DCC" w:rsidP="00355DCC">
      <w:r>
        <w:t>4</w:t>
      </w:r>
      <w:r w:rsidR="0009754A">
        <w:t xml:space="preserve">. </w:t>
      </w:r>
      <w:r>
        <w:t>(</w:t>
      </w:r>
      <w:proofErr w:type="gramStart"/>
      <w:r>
        <w:t>a</w:t>
      </w:r>
      <w:proofErr w:type="gramEnd"/>
      <w:r>
        <w:t>) Lactic acid is a weak acid so the pH will decrease.</w:t>
      </w:r>
    </w:p>
    <w:p w14:paraId="592CB25C" w14:textId="31572EE2" w:rsidR="00355DCC" w:rsidRDefault="00355DCC" w:rsidP="00355DCC">
      <w:r>
        <w:t>(b) Bicarbonate ions (HCO</w:t>
      </w:r>
      <w:r w:rsidRPr="00CC6439">
        <w:rPr>
          <w:vertAlign w:val="subscript"/>
        </w:rPr>
        <w:t>3</w:t>
      </w:r>
      <w:r w:rsidRPr="00F273E5">
        <w:rPr>
          <w:vertAlign w:val="superscript"/>
        </w:rPr>
        <w:t>-</w:t>
      </w:r>
      <w:r>
        <w:t>) will buffer the pH and mean that the effect of lactic acid is less (</w:t>
      </w:r>
      <w:proofErr w:type="spellStart"/>
      <w:r>
        <w:t>ie</w:t>
      </w:r>
      <w:proofErr w:type="spellEnd"/>
      <w:r>
        <w:t xml:space="preserve"> the pH stays higher). H</w:t>
      </w:r>
      <w:r w:rsidRPr="00CC6439">
        <w:rPr>
          <w:vertAlign w:val="superscript"/>
        </w:rPr>
        <w:t>+</w:t>
      </w:r>
      <w:r>
        <w:t xml:space="preserve"> + HCO</w:t>
      </w:r>
      <w:r w:rsidRPr="00CC6439">
        <w:rPr>
          <w:vertAlign w:val="subscript"/>
        </w:rPr>
        <w:t>3</w:t>
      </w:r>
      <w:r w:rsidRPr="00CC6439">
        <w:rPr>
          <w:vertAlign w:val="superscript"/>
        </w:rPr>
        <w:t>-</w:t>
      </w:r>
      <w:r>
        <w:t xml:space="preserve"> </w:t>
      </w:r>
      <w:r w:rsidR="00420A5E" w:rsidRPr="00F273E5">
        <w:rPr>
          <w:rFonts w:ascii="Cambria Math" w:hAnsi="Cambria Math" w:cs="Cambria Math"/>
        </w:rPr>
        <w:t>⇄</w:t>
      </w:r>
      <w:r>
        <w:t xml:space="preserve"> H</w:t>
      </w:r>
      <w:r w:rsidRPr="00CC6439">
        <w:rPr>
          <w:vertAlign w:val="subscript"/>
        </w:rPr>
        <w:t>2</w:t>
      </w:r>
      <w:r>
        <w:t>CO</w:t>
      </w:r>
      <w:r w:rsidRPr="00CC6439">
        <w:rPr>
          <w:vertAlign w:val="superscript"/>
        </w:rPr>
        <w:t>3-</w:t>
      </w:r>
    </w:p>
    <w:p w14:paraId="22C36B3C" w14:textId="77777777" w:rsidR="00355DCC" w:rsidRDefault="00355DCC" w:rsidP="00355DCC">
      <w:r>
        <w:t>(c) Glutamate and aspartate contain carboxylic acid side groups –COO</w:t>
      </w:r>
      <w:r w:rsidRPr="00CC6439">
        <w:rPr>
          <w:vertAlign w:val="superscript"/>
        </w:rPr>
        <w:t>-</w:t>
      </w:r>
      <w:r>
        <w:t>. The negative charges on these side chains will form electrostatic interactions with the positively charged calcium Ca</w:t>
      </w:r>
      <w:r w:rsidRPr="00CC6439">
        <w:rPr>
          <w:vertAlign w:val="superscript"/>
        </w:rPr>
        <w:t>2+</w:t>
      </w:r>
      <w:r>
        <w:t xml:space="preserve">. </w:t>
      </w:r>
    </w:p>
    <w:p w14:paraId="3DF5A148" w14:textId="77777777" w:rsidR="00355DCC" w:rsidRDefault="00355DCC" w:rsidP="00355DCC">
      <w:r>
        <w:t>(d) Keeping the calcium concentration high means that mineralisation is promoted over demineralisation.</w:t>
      </w:r>
    </w:p>
    <w:p w14:paraId="416654EB" w14:textId="47945541" w:rsidR="007705C4" w:rsidRDefault="007705C4" w:rsidP="00355DCC"/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842A632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07FCE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07FCE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E671C4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07FC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07FCE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72B405A" w:rsidR="00343CBA" w:rsidRDefault="007A5E1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FAF15A" wp14:editId="0150A6DF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5ECA"/>
    <w:rsid w:val="0002726D"/>
    <w:rsid w:val="000355C3"/>
    <w:rsid w:val="0005693A"/>
    <w:rsid w:val="000709BF"/>
    <w:rsid w:val="00093F53"/>
    <w:rsid w:val="0009754A"/>
    <w:rsid w:val="000D3D40"/>
    <w:rsid w:val="000D440E"/>
    <w:rsid w:val="0010603F"/>
    <w:rsid w:val="00112D04"/>
    <w:rsid w:val="001167A2"/>
    <w:rsid w:val="00165309"/>
    <w:rsid w:val="001703AB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3635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55DCC"/>
    <w:rsid w:val="00361A0D"/>
    <w:rsid w:val="003A3955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0A5E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57828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23C82"/>
    <w:rsid w:val="008342DB"/>
    <w:rsid w:val="00836F07"/>
    <w:rsid w:val="00853A62"/>
    <w:rsid w:val="00854D32"/>
    <w:rsid w:val="00857888"/>
    <w:rsid w:val="008658F3"/>
    <w:rsid w:val="008664CB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C5ABF"/>
    <w:rsid w:val="009D4E77"/>
    <w:rsid w:val="009F0DFC"/>
    <w:rsid w:val="009F3445"/>
    <w:rsid w:val="00A145F9"/>
    <w:rsid w:val="00A42400"/>
    <w:rsid w:val="00A50EEB"/>
    <w:rsid w:val="00A52886"/>
    <w:rsid w:val="00A75F4C"/>
    <w:rsid w:val="00A9584B"/>
    <w:rsid w:val="00AB1738"/>
    <w:rsid w:val="00AB6834"/>
    <w:rsid w:val="00AE621F"/>
    <w:rsid w:val="00AE7C6A"/>
    <w:rsid w:val="00AF3542"/>
    <w:rsid w:val="00AF776F"/>
    <w:rsid w:val="00B20041"/>
    <w:rsid w:val="00B538F0"/>
    <w:rsid w:val="00B57B2A"/>
    <w:rsid w:val="00BA512C"/>
    <w:rsid w:val="00BB1F22"/>
    <w:rsid w:val="00C17DDC"/>
    <w:rsid w:val="00C3053B"/>
    <w:rsid w:val="00CC6439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622D4"/>
    <w:rsid w:val="00E86125"/>
    <w:rsid w:val="00EA0301"/>
    <w:rsid w:val="00EA0DFF"/>
    <w:rsid w:val="00EB2E6C"/>
    <w:rsid w:val="00EC0B8E"/>
    <w:rsid w:val="00ED609E"/>
    <w:rsid w:val="00EE78E2"/>
    <w:rsid w:val="00EF1342"/>
    <w:rsid w:val="00F05BEA"/>
    <w:rsid w:val="00F07FCE"/>
    <w:rsid w:val="00F273E5"/>
    <w:rsid w:val="00F32AE0"/>
    <w:rsid w:val="00F33F60"/>
    <w:rsid w:val="00F42A21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658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3xB7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purl.org/dc/dcmitype/"/>
    <ds:schemaRef ds:uri="27d643f5-4560-4eff-9f48-d0fe6b2bec2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[Resource title]</dc:title>
  <dc:subject>Demonstration silver acetylide as a contact explosive</dc:subject>
  <dc:creator>Royal Society of Chemistry</dc:creator>
  <dc:description>From [article name], Education in Chemistry, [article URL]</dc:description>
  <cp:lastModifiedBy>Jamie Durrani</cp:lastModifiedBy>
  <cp:revision>9</cp:revision>
  <cp:lastPrinted>2019-08-13T13:44:00Z</cp:lastPrinted>
  <dcterms:created xsi:type="dcterms:W3CDTF">2019-08-12T14:36:00Z</dcterms:created>
  <dcterms:modified xsi:type="dcterms:W3CDTF">2019-08-13T13:44:00Z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