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48CD" w14:textId="3BAB2B90" w:rsidR="005F286E" w:rsidRPr="003B7300" w:rsidRDefault="00884BA6" w:rsidP="00CF6E3E">
      <w:pPr>
        <w:pStyle w:val="RSCH1"/>
        <w:rPr>
          <w:color w:val="991E66"/>
        </w:rPr>
      </w:pPr>
      <w:r>
        <w:rPr>
          <w:color w:val="991E66"/>
        </w:rPr>
        <w:t>Cannon fire</w:t>
      </w:r>
    </w:p>
    <w:p w14:paraId="04C7BBAB" w14:textId="30EA509D" w:rsidR="00E143D7" w:rsidRDefault="00905E09" w:rsidP="00E143D7">
      <w:pPr>
        <w:pStyle w:val="RSCBasictext"/>
        <w:rPr>
          <w:color w:val="991E66" w:themeColor="accent1"/>
        </w:rPr>
      </w:pPr>
      <w:bookmarkStart w:id="0" w:name="_Hlk133917238"/>
      <w:r w:rsidRPr="000878DA">
        <w:rPr>
          <w:lang w:eastAsia="en-GB"/>
        </w:rPr>
        <w:t>Th</w:t>
      </w:r>
      <w:r w:rsidR="00104CB2">
        <w:rPr>
          <w:lang w:eastAsia="en-GB"/>
        </w:rPr>
        <w:t>ese notes</w:t>
      </w:r>
      <w:r w:rsidRPr="000878DA">
        <w:rPr>
          <w:lang w:eastAsia="en-GB"/>
        </w:rPr>
        <w:t xml:space="preserve"> </w:t>
      </w:r>
      <w:r w:rsidR="00104CB2">
        <w:rPr>
          <w:lang w:eastAsia="en-GB"/>
        </w:rPr>
        <w:t>accompany</w:t>
      </w:r>
      <w:r w:rsidR="001A278F" w:rsidRPr="000878DA">
        <w:rPr>
          <w:lang w:eastAsia="en-GB"/>
        </w:rPr>
        <w:t xml:space="preserve"> the </w:t>
      </w:r>
      <w:r w:rsidR="00104CB2">
        <w:rPr>
          <w:lang w:eastAsia="en-GB"/>
        </w:rPr>
        <w:t>video demonstration</w:t>
      </w:r>
      <w:r w:rsidR="001A278F" w:rsidRPr="000878DA">
        <w:rPr>
          <w:lang w:eastAsia="en-GB"/>
        </w:rPr>
        <w:t xml:space="preserve"> </w:t>
      </w:r>
      <w:r w:rsidR="00257606">
        <w:rPr>
          <w:rFonts w:eastAsia="Calibri" w:cs="Calibri"/>
          <w:b/>
          <w:color w:val="222222"/>
        </w:rPr>
        <w:t>Cannon Fire</w:t>
      </w:r>
      <w:r w:rsidR="00104CB2">
        <w:rPr>
          <w:rFonts w:eastAsia="Calibri" w:cs="Calibri"/>
          <w:b/>
          <w:color w:val="222222"/>
        </w:rPr>
        <w:t xml:space="preserve"> </w:t>
      </w:r>
      <w:r w:rsidR="00B63F7E">
        <w:rPr>
          <w:lang w:eastAsia="en-GB"/>
        </w:rPr>
        <w:t>from</w:t>
      </w:r>
      <w:r w:rsidR="00B63F7E" w:rsidRPr="000878DA">
        <w:rPr>
          <w:lang w:eastAsia="en-GB"/>
        </w:rPr>
        <w:t xml:space="preserve"> </w:t>
      </w:r>
      <w:r w:rsidR="00B63F7E" w:rsidRPr="000878DA">
        <w:rPr>
          <w:i/>
          <w:iCs/>
          <w:lang w:eastAsia="en-GB"/>
        </w:rPr>
        <w:t>Education in Chemistry</w:t>
      </w:r>
      <w:r w:rsidR="00B63F7E" w:rsidRPr="000878DA">
        <w:rPr>
          <w:lang w:eastAsia="en-GB"/>
        </w:rPr>
        <w:t xml:space="preserve"> </w:t>
      </w:r>
      <w:r w:rsidR="001A278F" w:rsidRPr="000878DA">
        <w:rPr>
          <w:lang w:eastAsia="en-GB"/>
        </w:rPr>
        <w:t xml:space="preserve">which </w:t>
      </w:r>
      <w:r w:rsidR="00B63F7E">
        <w:rPr>
          <w:lang w:eastAsia="en-GB"/>
        </w:rPr>
        <w:t xml:space="preserve">you </w:t>
      </w:r>
      <w:r w:rsidR="001A278F" w:rsidRPr="000878DA">
        <w:rPr>
          <w:lang w:eastAsia="en-GB"/>
        </w:rPr>
        <w:t xml:space="preserve">can view at: </w:t>
      </w:r>
      <w:hyperlink r:id="rId11" w:history="1">
        <w:r w:rsidR="004B296E" w:rsidRPr="004B296E">
          <w:rPr>
            <w:rStyle w:val="Hyperlink"/>
            <w:color w:val="991E66" w:themeColor="accent1"/>
            <w:u w:val="none"/>
            <w:lang w:eastAsia="en-GB"/>
          </w:rPr>
          <w:t>rsc.li/4pRTF9C</w:t>
        </w:r>
      </w:hyperlink>
      <w:r w:rsidR="004B296E">
        <w:rPr>
          <w:lang w:eastAsia="en-GB"/>
        </w:rPr>
        <w:t xml:space="preserve"> </w:t>
      </w:r>
    </w:p>
    <w:p w14:paraId="25B7A7E9" w14:textId="4F174B40" w:rsidR="00EB23FB" w:rsidRPr="00EB23FB" w:rsidRDefault="00EB23FB" w:rsidP="00EB23FB">
      <w:pPr>
        <w:pStyle w:val="RSCH2"/>
        <w:rPr>
          <w:color w:val="991E66"/>
        </w:rPr>
      </w:pPr>
      <w:r w:rsidRPr="00EB23FB">
        <w:rPr>
          <w:color w:val="991E66"/>
        </w:rPr>
        <w:t>Introduction</w:t>
      </w:r>
    </w:p>
    <w:p w14:paraId="20AA2DA1" w14:textId="28F97344" w:rsidR="00E143D7" w:rsidRDefault="00E143D7" w:rsidP="00E143D7">
      <w:pPr>
        <w:pStyle w:val="RSCBasictext"/>
        <w:rPr>
          <w:lang w:eastAsia="en-GB"/>
        </w:rPr>
      </w:pPr>
      <w:r w:rsidRPr="00E143D7">
        <w:rPr>
          <w:lang w:eastAsia="en-GB"/>
        </w:rPr>
        <w:t>Ethanol is one of the first organic compounds students are exposed to. They may be expected to learn about its structure and methods of producing it. Many modern specifications require that they understand the benefits and drawbacks of using it as an alternative fuel.</w:t>
      </w:r>
    </w:p>
    <w:p w14:paraId="7F273447" w14:textId="615748E4" w:rsidR="00E143D7" w:rsidRPr="00E143D7" w:rsidRDefault="00E143D7" w:rsidP="00E143D7">
      <w:pPr>
        <w:pStyle w:val="RSCBasictext"/>
        <w:rPr>
          <w:rFonts w:eastAsia="Calibri" w:cs="Calibri"/>
          <w:b/>
          <w:color w:val="222222"/>
          <w:lang w:eastAsia="en-GB"/>
        </w:rPr>
      </w:pPr>
      <w:r w:rsidRPr="00E143D7">
        <w:rPr>
          <w:lang w:eastAsia="en-GB"/>
        </w:rPr>
        <w:t>In this column last year I described how bottle rockets could be used to show an ethanol-air mixture driving a ‘vehicle</w:t>
      </w:r>
      <w:r w:rsidR="00C85D68">
        <w:rPr>
          <w:lang w:eastAsia="en-GB"/>
        </w:rPr>
        <w:t>’ (</w:t>
      </w:r>
      <w:hyperlink r:id="rId12" w:history="1">
        <w:r w:rsidR="00C85D68" w:rsidRPr="00C85D68">
          <w:rPr>
            <w:rStyle w:val="Hyperlink"/>
            <w:color w:val="991E66" w:themeColor="accent1"/>
            <w:u w:val="none"/>
            <w:lang w:eastAsia="en-GB"/>
          </w:rPr>
          <w:t>rsc.li/3Y0NR1l</w:t>
        </w:r>
      </w:hyperlink>
      <w:r w:rsidR="00C85D68">
        <w:rPr>
          <w:lang w:eastAsia="en-GB"/>
        </w:rPr>
        <w:t>),</w:t>
      </w:r>
      <w:r w:rsidR="00B6738C">
        <w:t xml:space="preserve"> </w:t>
      </w:r>
      <w:r w:rsidRPr="00E143D7">
        <w:rPr>
          <w:lang w:eastAsia="en-GB"/>
        </w:rPr>
        <w:t>but I often keep that demonstration for lessons on complete and incomplete combustion. When it comes to lessons studying ethanol itself, I like to have another demonstration to hand and one of the most impressive is the Cannon Fire experiment.</w:t>
      </w:r>
    </w:p>
    <w:p w14:paraId="3D4CC486" w14:textId="6E6DA386" w:rsidR="0009292F" w:rsidRDefault="003979ED" w:rsidP="00E143D7">
      <w:pPr>
        <w:pStyle w:val="RSCH2"/>
        <w:rPr>
          <w:color w:val="8E1055"/>
          <w:lang w:eastAsia="en-GB"/>
        </w:rPr>
      </w:pPr>
      <w:r>
        <w:rPr>
          <w:color w:val="8E1055"/>
          <w:lang w:eastAsia="en-GB"/>
        </w:rPr>
        <w:t>Curriculum links</w:t>
      </w:r>
    </w:p>
    <w:p w14:paraId="0219A431" w14:textId="57D0DF79" w:rsidR="00782622" w:rsidRDefault="00782622" w:rsidP="0009292F">
      <w:pPr>
        <w:pStyle w:val="RSC2-columntabs"/>
        <w:rPr>
          <w:lang w:eastAsia="en-GB"/>
        </w:rPr>
      </w:pPr>
      <w:r>
        <w:rPr>
          <w:lang w:eastAsia="en-GB"/>
        </w:rPr>
        <w:t xml:space="preserve">Use this demonstration when teaching catalysts or biofuels </w:t>
      </w:r>
      <w:r w:rsidR="00A154A9">
        <w:rPr>
          <w:lang w:eastAsia="en-GB"/>
        </w:rPr>
        <w:t xml:space="preserve">to learners aged 16-18. </w:t>
      </w:r>
    </w:p>
    <w:p w14:paraId="4449B9EA" w14:textId="4D0FE1FF" w:rsidR="00104CB2" w:rsidRDefault="00D96BF4" w:rsidP="00104CB2">
      <w:pPr>
        <w:pStyle w:val="RSCH2"/>
        <w:rPr>
          <w:color w:val="8E1055"/>
          <w:lang w:eastAsia="en-GB"/>
        </w:rPr>
      </w:pPr>
      <w:r>
        <w:rPr>
          <w:color w:val="8E1055"/>
          <w:lang w:eastAsia="en-GB"/>
        </w:rPr>
        <w:t>Kit</w:t>
      </w:r>
    </w:p>
    <w:p w14:paraId="7548317F" w14:textId="09303BB3" w:rsidR="00307510" w:rsidRDefault="00E06378" w:rsidP="00307510">
      <w:pPr>
        <w:pStyle w:val="RSCBulletedlist"/>
        <w:numPr>
          <w:ilvl w:val="0"/>
          <w:numId w:val="22"/>
        </w:numPr>
        <w:spacing w:line="256" w:lineRule="auto"/>
        <w:rPr>
          <w:lang w:eastAsia="en-GB"/>
        </w:rPr>
      </w:pPr>
      <w:r>
        <w:rPr>
          <w:lang w:eastAsia="en-GB"/>
        </w:rPr>
        <w:t>Heat resistant mats to cover c.60 cm</w:t>
      </w:r>
      <w:r>
        <w:rPr>
          <w:vertAlign w:val="superscript"/>
          <w:lang w:eastAsia="en-GB"/>
        </w:rPr>
        <w:t>2</w:t>
      </w:r>
      <w:r>
        <w:rPr>
          <w:lang w:eastAsia="en-GB"/>
        </w:rPr>
        <w:t xml:space="preserve"> of desk</w:t>
      </w:r>
    </w:p>
    <w:p w14:paraId="6D9FDD6E" w14:textId="6EC1DD6F" w:rsidR="00307510" w:rsidRPr="00307510" w:rsidRDefault="00E06378" w:rsidP="00307510">
      <w:pPr>
        <w:pStyle w:val="RSCBulletedlist"/>
        <w:numPr>
          <w:ilvl w:val="0"/>
          <w:numId w:val="22"/>
        </w:numPr>
        <w:spacing w:line="256" w:lineRule="auto"/>
        <w:rPr>
          <w:lang w:eastAsia="en-GB"/>
        </w:rPr>
      </w:pPr>
      <w:r>
        <w:rPr>
          <w:lang w:eastAsia="en-GB"/>
        </w:rPr>
        <w:t>A large evaporating basin (c.10 cm diameter)</w:t>
      </w:r>
    </w:p>
    <w:p w14:paraId="4709CB50" w14:textId="6FB99D04" w:rsidR="00307510" w:rsidRDefault="00E06378" w:rsidP="00307510">
      <w:pPr>
        <w:pStyle w:val="RSCBulletedlist"/>
        <w:numPr>
          <w:ilvl w:val="0"/>
          <w:numId w:val="22"/>
        </w:numPr>
        <w:spacing w:line="256" w:lineRule="auto"/>
        <w:rPr>
          <w:lang w:eastAsia="en-GB"/>
        </w:rPr>
      </w:pPr>
      <w:r>
        <w:rPr>
          <w:lang w:eastAsia="en-GB"/>
        </w:rPr>
        <w:t>Eye protection for demonstrator and audience</w:t>
      </w:r>
    </w:p>
    <w:p w14:paraId="4FA210B7" w14:textId="344560A2" w:rsidR="00307510" w:rsidRDefault="00E06378" w:rsidP="00414DC8">
      <w:pPr>
        <w:pStyle w:val="RSCBulletedlist"/>
        <w:numPr>
          <w:ilvl w:val="0"/>
          <w:numId w:val="22"/>
        </w:numPr>
        <w:spacing w:line="256" w:lineRule="auto"/>
        <w:rPr>
          <w:lang w:eastAsia="en-GB"/>
        </w:rPr>
      </w:pPr>
      <w:r>
        <w:rPr>
          <w:lang w:eastAsia="en-GB"/>
        </w:rPr>
        <w:t xml:space="preserve">Safety screens </w:t>
      </w:r>
    </w:p>
    <w:p w14:paraId="08B41CBF" w14:textId="19D38CAA" w:rsidR="00EC0680" w:rsidRDefault="00DE0070" w:rsidP="00EC0680">
      <w:pPr>
        <w:pStyle w:val="RSCBulletedlist"/>
        <w:numPr>
          <w:ilvl w:val="0"/>
          <w:numId w:val="22"/>
        </w:numPr>
        <w:spacing w:line="256" w:lineRule="auto"/>
        <w:rPr>
          <w:lang w:eastAsia="en-GB"/>
        </w:rPr>
      </w:pPr>
      <w:r>
        <w:rPr>
          <w:lang w:eastAsia="en-GB"/>
        </w:rPr>
        <w:t>30 cm</w:t>
      </w:r>
      <w:r w:rsidR="000C4712">
        <w:rPr>
          <w:vertAlign w:val="superscript"/>
          <w:lang w:eastAsia="en-GB"/>
        </w:rPr>
        <w:t>3</w:t>
      </w:r>
      <w:r w:rsidR="00EC0680">
        <w:rPr>
          <w:lang w:eastAsia="en-GB"/>
        </w:rPr>
        <w:t xml:space="preserve"> 20 vol hydrogen peroxide (irritant)</w:t>
      </w:r>
      <w:r w:rsidR="00111DC5">
        <w:rPr>
          <w:lang w:eastAsia="en-GB"/>
        </w:rPr>
        <w:t xml:space="preserve"> </w:t>
      </w:r>
    </w:p>
    <w:p w14:paraId="1E212358" w14:textId="20718C38" w:rsidR="00EC0680" w:rsidRDefault="00EC0680" w:rsidP="00EC0680">
      <w:pPr>
        <w:pStyle w:val="RSCBulletedlist"/>
        <w:numPr>
          <w:ilvl w:val="0"/>
          <w:numId w:val="22"/>
        </w:numPr>
        <w:spacing w:line="256" w:lineRule="auto"/>
        <w:rPr>
          <w:lang w:eastAsia="en-GB"/>
        </w:rPr>
      </w:pPr>
      <w:r>
        <w:rPr>
          <w:lang w:eastAsia="en-GB"/>
        </w:rPr>
        <w:t>20 cm</w:t>
      </w:r>
      <w:r>
        <w:rPr>
          <w:vertAlign w:val="superscript"/>
          <w:lang w:eastAsia="en-GB"/>
        </w:rPr>
        <w:t>3</w:t>
      </w:r>
      <w:r>
        <w:rPr>
          <w:lang w:eastAsia="en-GB"/>
        </w:rPr>
        <w:t xml:space="preserve"> </w:t>
      </w:r>
      <w:r w:rsidR="00CA6F07">
        <w:rPr>
          <w:lang w:eastAsia="en-GB"/>
        </w:rPr>
        <w:t xml:space="preserve">ethanol (highly flammable) </w:t>
      </w:r>
      <w:r w:rsidR="00993329">
        <w:rPr>
          <w:lang w:eastAsia="en-GB"/>
        </w:rPr>
        <w:t>or IDA (industrial denatured alcohol, highly flammable, harmful)</w:t>
      </w:r>
    </w:p>
    <w:p w14:paraId="1F0DDB62" w14:textId="6FD88F29" w:rsidR="00713406" w:rsidRPr="00713406" w:rsidRDefault="00993329" w:rsidP="00803338">
      <w:pPr>
        <w:pStyle w:val="RSCBulletedlist"/>
        <w:numPr>
          <w:ilvl w:val="0"/>
          <w:numId w:val="22"/>
        </w:numPr>
        <w:spacing w:line="256" w:lineRule="auto"/>
        <w:rPr>
          <w:lang w:eastAsia="en-GB"/>
        </w:rPr>
      </w:pPr>
      <w:r>
        <w:rPr>
          <w:lang w:eastAsia="en-GB"/>
        </w:rPr>
        <w:t xml:space="preserve">C.0.5 g potassium </w:t>
      </w:r>
      <w:proofErr w:type="gramStart"/>
      <w:r>
        <w:rPr>
          <w:lang w:eastAsia="en-GB"/>
        </w:rPr>
        <w:t>manganate(</w:t>
      </w:r>
      <w:proofErr w:type="gramEnd"/>
      <w:r>
        <w:rPr>
          <w:lang w:eastAsia="en-GB"/>
        </w:rPr>
        <w:t>VII) (oxidising, harmful)</w:t>
      </w:r>
    </w:p>
    <w:p w14:paraId="199F1136" w14:textId="77777777" w:rsidR="007D6D75" w:rsidRDefault="007D6D75">
      <w:pPr>
        <w:spacing w:after="160" w:line="259" w:lineRule="auto"/>
        <w:jc w:val="left"/>
        <w:outlineLvl w:val="9"/>
        <w:rPr>
          <w:rFonts w:ascii="Century Gothic" w:hAnsi="Century Gothic"/>
          <w:b/>
          <w:bCs/>
          <w:color w:val="8E1055"/>
          <w:sz w:val="28"/>
          <w:szCs w:val="22"/>
          <w:lang w:eastAsia="en-GB"/>
        </w:rPr>
      </w:pPr>
      <w:r>
        <w:rPr>
          <w:color w:val="8E1055"/>
          <w:lang w:eastAsia="en-GB"/>
        </w:rPr>
        <w:br w:type="page"/>
      </w:r>
    </w:p>
    <w:p w14:paraId="177A9F5D" w14:textId="15953F03" w:rsidR="00307510" w:rsidRDefault="00922DAE" w:rsidP="005D5FDF">
      <w:pPr>
        <w:pStyle w:val="RSCH2"/>
        <w:spacing w:before="480"/>
        <w:rPr>
          <w:color w:val="8E1055"/>
          <w:lang w:eastAsia="en-GB"/>
        </w:rPr>
      </w:pPr>
      <w:r>
        <w:rPr>
          <w:noProof/>
          <w:color w:val="8E1055"/>
          <w:lang w:eastAsia="en-GB"/>
        </w:rPr>
        <w:lastRenderedPageBreak/>
        <mc:AlternateContent>
          <mc:Choice Requires="wps">
            <w:drawing>
              <wp:anchor distT="0" distB="0" distL="114300" distR="114300" simplePos="0" relativeHeight="251658240" behindDoc="0" locked="0" layoutInCell="1" allowOverlap="1" wp14:anchorId="12927465" wp14:editId="789A7114">
                <wp:simplePos x="0" y="0"/>
                <wp:positionH relativeFrom="margin">
                  <wp:posOffset>-76200</wp:posOffset>
                </wp:positionH>
                <wp:positionV relativeFrom="paragraph">
                  <wp:posOffset>-89535</wp:posOffset>
                </wp:positionV>
                <wp:extent cx="5886450" cy="3933825"/>
                <wp:effectExtent l="19050" t="19050" r="19050" b="28575"/>
                <wp:wrapNone/>
                <wp:docPr id="163740127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86450" cy="3933825"/>
                        </a:xfrm>
                        <a:prstGeom prst="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F5827" id="Rectangle 1" o:spid="_x0000_s1026" alt="&quot;&quot;" style="position:absolute;margin-left:-6pt;margin-top:-7.05pt;width:463.5pt;height:30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" filled="f" strokecolor="#991e66 [3204]" strokeweight="2.25pt">
                <w10:wrap anchorx="margin"/>
              </v:rect>
            </w:pict>
          </mc:Fallback>
        </mc:AlternateContent>
      </w:r>
      <w:r w:rsidR="00D96BF4">
        <w:rPr>
          <w:color w:val="8E1055"/>
          <w:lang w:eastAsia="en-GB"/>
        </w:rPr>
        <w:t>Health, s</w:t>
      </w:r>
      <w:r w:rsidR="00307510">
        <w:rPr>
          <w:color w:val="8E1055"/>
          <w:lang w:eastAsia="en-GB"/>
        </w:rPr>
        <w:t xml:space="preserve">afety </w:t>
      </w:r>
      <w:r w:rsidR="00D96BF4">
        <w:rPr>
          <w:color w:val="8E1055"/>
          <w:lang w:eastAsia="en-GB"/>
        </w:rPr>
        <w:t>and disposal</w:t>
      </w:r>
    </w:p>
    <w:p w14:paraId="2EC2FF24" w14:textId="77777777" w:rsidR="00E567B5" w:rsidRDefault="00E567B5" w:rsidP="00E567B5">
      <w:pPr>
        <w:pStyle w:val="RSCBulletedlist"/>
        <w:numPr>
          <w:ilvl w:val="0"/>
          <w:numId w:val="24"/>
        </w:numPr>
      </w:pPr>
      <w:r>
        <w:t>Read our standard health and safety guidance and carry out a risk assessment before running a live demonstration (</w:t>
      </w:r>
      <w:hyperlink r:id="rId13" w:history="1">
        <w:r w:rsidRPr="009B461F">
          <w:rPr>
            <w:rStyle w:val="Hyperlink"/>
            <w:color w:val="991E66"/>
          </w:rPr>
          <w:t>rsc.li/4llBcQv</w:t>
        </w:r>
      </w:hyperlink>
      <w:r>
        <w:t>).</w:t>
      </w:r>
    </w:p>
    <w:p w14:paraId="2F7EC96B" w14:textId="3DDF247E" w:rsidR="007D5468" w:rsidRDefault="00E567B5" w:rsidP="007D5468">
      <w:pPr>
        <w:pStyle w:val="RSCBulletedlist"/>
        <w:numPr>
          <w:ilvl w:val="0"/>
          <w:numId w:val="24"/>
        </w:numPr>
        <w:rPr>
          <w:lang w:eastAsia="en-GB"/>
        </w:rPr>
      </w:pPr>
      <w:r>
        <w:rPr>
          <w:lang w:eastAsia="en-GB"/>
        </w:rPr>
        <w:t xml:space="preserve">Wear eye protection and use safety screens to protect both audience and demonstrator. </w:t>
      </w:r>
    </w:p>
    <w:p w14:paraId="73E4983B" w14:textId="77777777" w:rsidR="006C5C02" w:rsidRPr="006C5C02" w:rsidRDefault="006C5C02" w:rsidP="006C5C02">
      <w:pPr>
        <w:pStyle w:val="RSCBulletedlist"/>
        <w:numPr>
          <w:ilvl w:val="0"/>
          <w:numId w:val="24"/>
        </w:numPr>
        <w:rPr>
          <w:lang w:eastAsia="en-GB"/>
        </w:rPr>
      </w:pPr>
      <w:r w:rsidRPr="006C5C02">
        <w:rPr>
          <w:lang w:eastAsia="en-GB"/>
        </w:rPr>
        <w:t>In some lighting conditions, the flame may be difficult to see. Do not repeat the demonstration in the same evaporating basin without first rinsing it out with tap water.</w:t>
      </w:r>
    </w:p>
    <w:p w14:paraId="3A588658" w14:textId="60F969D5" w:rsidR="00051378" w:rsidRPr="006C5C02" w:rsidRDefault="00051378" w:rsidP="00051378">
      <w:pPr>
        <w:pStyle w:val="RSCBulletedlist"/>
        <w:numPr>
          <w:ilvl w:val="0"/>
          <w:numId w:val="24"/>
        </w:numPr>
        <w:rPr>
          <w:lang w:eastAsia="en-GB"/>
        </w:rPr>
      </w:pPr>
      <w:r w:rsidRPr="006C5C02">
        <w:rPr>
          <w:lang w:eastAsia="en-GB"/>
        </w:rPr>
        <w:t>The coarseness of the potassium manganate(vii) can affect the reaction slightly with louder pops and fewer flames by using larger crystals. Do not be tempted to make the reaction more dramatic by adding more of any chemical or increasing the concentration of the peroxide.</w:t>
      </w:r>
    </w:p>
    <w:p w14:paraId="0BEB3380" w14:textId="77777777" w:rsidR="00051378" w:rsidRPr="006C5C02" w:rsidRDefault="00051378" w:rsidP="00051378">
      <w:pPr>
        <w:pStyle w:val="RSCBulletedlist"/>
        <w:numPr>
          <w:ilvl w:val="0"/>
          <w:numId w:val="24"/>
        </w:numPr>
        <w:rPr>
          <w:lang w:eastAsia="en-GB"/>
        </w:rPr>
      </w:pPr>
      <w:r w:rsidRPr="006C5C02">
        <w:rPr>
          <w:lang w:eastAsia="en-GB"/>
        </w:rPr>
        <w:t>This demonstration is unlikely to be covered by your employer’s model risk assessments, in which case a special risk assessment should be carried out. CLEAPSS members will find this on the website under Supplementary Risk Assessments, SRA 05.</w:t>
      </w:r>
    </w:p>
    <w:p w14:paraId="3F4FCFD3" w14:textId="02844540" w:rsidR="006C5C02" w:rsidRDefault="00051378" w:rsidP="00051378">
      <w:pPr>
        <w:pStyle w:val="RSCBulletedlist"/>
        <w:numPr>
          <w:ilvl w:val="0"/>
          <w:numId w:val="24"/>
        </w:numPr>
        <w:rPr>
          <w:lang w:eastAsia="en-GB"/>
        </w:rPr>
      </w:pPr>
      <w:r w:rsidRPr="006C5C02">
        <w:rPr>
          <w:lang w:eastAsia="en-GB"/>
        </w:rPr>
        <w:t>Disposal: wash all liquids down a foul water drain with plenty of running water.</w:t>
      </w:r>
    </w:p>
    <w:p w14:paraId="05D8050E" w14:textId="77777777" w:rsidR="006C5C02" w:rsidRDefault="006C5C02" w:rsidP="000B3988">
      <w:pPr>
        <w:pStyle w:val="RSCBulletedlist"/>
        <w:numPr>
          <w:ilvl w:val="0"/>
          <w:numId w:val="0"/>
        </w:numPr>
        <w:rPr>
          <w:lang w:eastAsia="en-GB"/>
        </w:rPr>
      </w:pPr>
    </w:p>
    <w:bookmarkEnd w:id="0"/>
    <w:p w14:paraId="761E1F66" w14:textId="0BADF0AA" w:rsidR="00D96BF4" w:rsidRDefault="00082470" w:rsidP="00D96BF4">
      <w:pPr>
        <w:pStyle w:val="RSCH2"/>
        <w:rPr>
          <w:color w:val="8E1055"/>
          <w:lang w:eastAsia="en-GB"/>
        </w:rPr>
      </w:pPr>
      <w:r>
        <w:rPr>
          <w:color w:val="8E1055"/>
          <w:lang w:eastAsia="en-GB"/>
        </w:rPr>
        <w:t>Preparation</w:t>
      </w:r>
    </w:p>
    <w:p w14:paraId="531A8D55" w14:textId="163845E5" w:rsidR="00D66C36" w:rsidRPr="00D66C36" w:rsidRDefault="00D66C36" w:rsidP="00D66C36">
      <w:pPr>
        <w:pStyle w:val="RSCBasictext"/>
        <w:rPr>
          <w:lang w:eastAsia="en-GB"/>
        </w:rPr>
      </w:pPr>
      <w:r>
        <w:rPr>
          <w:lang w:eastAsia="en-GB"/>
        </w:rPr>
        <w:t xml:space="preserve">Work in a well-ventilated area to avoid breathing the decomposition products during </w:t>
      </w:r>
      <w:r w:rsidR="001C772C" w:rsidRPr="001C772C">
        <w:rPr>
          <w:lang w:eastAsia="en-GB"/>
        </w:rPr>
        <w:t xml:space="preserve">the demonstration. Protect the desk with heat resistant mats: I use four square 30 cm mats to make a 60 x 60 cm square. Place a fifth mat in the middle of the square as liquid can spill over the side of the basin and slip between the mats (the resulting stains are difficult to remove). Use safety screens to protect the audience and the demonstrator. </w:t>
      </w:r>
    </w:p>
    <w:p w14:paraId="6C1EAD43" w14:textId="78AE55B2" w:rsidR="006E6E0B" w:rsidRDefault="00E045BB" w:rsidP="00E045BB">
      <w:pPr>
        <w:pStyle w:val="RSCH2"/>
        <w:rPr>
          <w:color w:val="991E66" w:themeColor="accent1"/>
          <w:lang w:eastAsia="en-GB"/>
        </w:rPr>
      </w:pPr>
      <w:r w:rsidRPr="00E045BB">
        <w:rPr>
          <w:color w:val="991E66" w:themeColor="accent1"/>
          <w:lang w:eastAsia="en-GB"/>
        </w:rPr>
        <w:t>In front of the class</w:t>
      </w:r>
    </w:p>
    <w:p w14:paraId="1F52B072" w14:textId="77777777" w:rsidR="00FF49A7" w:rsidRDefault="00FF49A7" w:rsidP="00E045BB">
      <w:pPr>
        <w:pStyle w:val="RSCBasictext"/>
        <w:rPr>
          <w:lang w:eastAsia="en-GB"/>
        </w:rPr>
      </w:pPr>
      <w:r>
        <w:rPr>
          <w:lang w:eastAsia="en-GB"/>
        </w:rPr>
        <w:t xml:space="preserve">Load the </w:t>
      </w:r>
      <w:r w:rsidRPr="00FF49A7">
        <w:rPr>
          <w:lang w:eastAsia="en-GB"/>
        </w:rPr>
        <w:t>evaporating basin with hydrogen peroxide and ethanol, then light it with a splint. The ethanol will burn with a pale blue, almost invisible flame.</w:t>
      </w:r>
      <w:r>
        <w:rPr>
          <w:lang w:eastAsia="en-GB"/>
        </w:rPr>
        <w:t xml:space="preserve"> </w:t>
      </w:r>
    </w:p>
    <w:p w14:paraId="67817D21" w14:textId="513CAA00" w:rsidR="00FF49A7" w:rsidRPr="00E045BB" w:rsidRDefault="00FF49A7" w:rsidP="00E045BB">
      <w:pPr>
        <w:pStyle w:val="RSCBasictext"/>
        <w:rPr>
          <w:lang w:eastAsia="en-GB"/>
        </w:rPr>
      </w:pPr>
      <w:r w:rsidRPr="00FF49A7">
        <w:rPr>
          <w:lang w:eastAsia="en-GB"/>
        </w:rPr>
        <w:t xml:space="preserve">At arm’s length, add a spatula of potassium </w:t>
      </w:r>
      <w:proofErr w:type="gramStart"/>
      <w:r w:rsidRPr="00FF49A7">
        <w:rPr>
          <w:lang w:eastAsia="en-GB"/>
        </w:rPr>
        <w:t>manganate(</w:t>
      </w:r>
      <w:proofErr w:type="gramEnd"/>
      <w:r w:rsidRPr="00FF49A7">
        <w:rPr>
          <w:lang w:eastAsia="en-GB"/>
        </w:rPr>
        <w:t xml:space="preserve">VII). The reaction will accelerate immediately as the </w:t>
      </w:r>
      <w:proofErr w:type="gramStart"/>
      <w:r w:rsidRPr="00FF49A7">
        <w:rPr>
          <w:lang w:eastAsia="en-GB"/>
        </w:rPr>
        <w:t>manganate(</w:t>
      </w:r>
      <w:proofErr w:type="gramEnd"/>
      <w:r w:rsidRPr="00FF49A7">
        <w:rPr>
          <w:lang w:eastAsia="en-GB"/>
        </w:rPr>
        <w:t xml:space="preserve">VII) ions react with the hydrogen peroxide to evolve oxygen. A series of pops or bangs will </w:t>
      </w:r>
      <w:proofErr w:type="gramStart"/>
      <w:r w:rsidRPr="00FF49A7">
        <w:rPr>
          <w:lang w:eastAsia="en-GB"/>
        </w:rPr>
        <w:t>follow</w:t>
      </w:r>
      <w:proofErr w:type="gramEnd"/>
      <w:r w:rsidRPr="00FF49A7">
        <w:rPr>
          <w:lang w:eastAsia="en-GB"/>
        </w:rPr>
        <w:t xml:space="preserve"> and the height of the flame will shoot up. The reaction subsides after about a minute, leaving a colourless liquid and solid manganese dioxide.</w:t>
      </w:r>
    </w:p>
    <w:p w14:paraId="5237D843" w14:textId="77777777" w:rsidR="00E26178" w:rsidRDefault="00E26178">
      <w:pPr>
        <w:spacing w:after="160" w:line="259" w:lineRule="auto"/>
        <w:jc w:val="left"/>
        <w:outlineLvl w:val="9"/>
        <w:rPr>
          <w:rFonts w:ascii="Century Gothic" w:hAnsi="Century Gothic"/>
          <w:b/>
          <w:bCs/>
          <w:color w:val="991E66" w:themeColor="accent1"/>
          <w:sz w:val="28"/>
          <w:szCs w:val="22"/>
          <w:lang w:eastAsia="en-GB"/>
        </w:rPr>
      </w:pPr>
      <w:r>
        <w:rPr>
          <w:color w:val="991E66" w:themeColor="accent1"/>
          <w:lang w:eastAsia="en-GB"/>
        </w:rPr>
        <w:br w:type="page"/>
      </w:r>
    </w:p>
    <w:p w14:paraId="4529F9E2" w14:textId="6BB3224D" w:rsidR="00145BB7" w:rsidRDefault="00145BB7" w:rsidP="00145BB7">
      <w:pPr>
        <w:pStyle w:val="RSCH2"/>
        <w:rPr>
          <w:color w:val="991E66" w:themeColor="accent1"/>
          <w:lang w:eastAsia="en-GB"/>
        </w:rPr>
      </w:pPr>
      <w:r>
        <w:rPr>
          <w:color w:val="991E66" w:themeColor="accent1"/>
          <w:lang w:eastAsia="en-GB"/>
        </w:rPr>
        <w:lastRenderedPageBreak/>
        <w:t>Teaching goal</w:t>
      </w:r>
    </w:p>
    <w:p w14:paraId="6CD6C5E5" w14:textId="3CF51DD1" w:rsidR="00AB3038" w:rsidRPr="00AB3038" w:rsidRDefault="00AB3038" w:rsidP="00AB3038">
      <w:pPr>
        <w:pStyle w:val="RSCBasictext"/>
      </w:pPr>
      <w:r w:rsidRPr="00AB3038">
        <w:t>I normally use this demonstration purely for enthusing. It’s one of the few demonstrations I do that regularly receives a round of spontaneous applause from the students, perhaps because of the surprise factor.</w:t>
      </w:r>
    </w:p>
    <w:p w14:paraId="0672CFD1" w14:textId="77777777" w:rsidR="00AB3038" w:rsidRPr="00AB3038" w:rsidRDefault="00AB3038" w:rsidP="00AB3038">
      <w:pPr>
        <w:pStyle w:val="RSCBasictext"/>
        <w:rPr>
          <w:lang w:eastAsia="en-GB"/>
        </w:rPr>
      </w:pPr>
      <w:r w:rsidRPr="00AB3038">
        <w:rPr>
          <w:lang w:eastAsia="en-GB"/>
        </w:rPr>
        <w:t xml:space="preserve">Initially, it’s worth drawing students’ attention to the flame colour of the burning ethanol alone. The pale blue flame is very difficult to see. For this </w:t>
      </w:r>
      <w:proofErr w:type="gramStart"/>
      <w:r w:rsidRPr="00AB3038">
        <w:rPr>
          <w:lang w:eastAsia="en-GB"/>
        </w:rPr>
        <w:t>reason</w:t>
      </w:r>
      <w:proofErr w:type="gramEnd"/>
      <w:r w:rsidRPr="00AB3038">
        <w:rPr>
          <w:lang w:eastAsia="en-GB"/>
        </w:rPr>
        <w:t xml:space="preserve"> I like to take the time to remind them of occasions where I have insisted on removing ethanol from an experiment or demonstration before introducing a naked flame or after the flame has been extinguished!</w:t>
      </w:r>
    </w:p>
    <w:p w14:paraId="7D9B2E82" w14:textId="77777777" w:rsidR="00AB3038" w:rsidRPr="00AB3038" w:rsidRDefault="00AB3038" w:rsidP="00AB3038">
      <w:pPr>
        <w:pStyle w:val="RSCBasictext"/>
        <w:rPr>
          <w:lang w:eastAsia="en-GB"/>
        </w:rPr>
      </w:pPr>
      <w:r w:rsidRPr="00AB3038">
        <w:rPr>
          <w:lang w:eastAsia="en-GB"/>
        </w:rPr>
        <w:t xml:space="preserve">If you are using this demonstration to support a lesson on the use of ethanol as a fuel, it is worth noting the different type of flame found compared to others they may have seen recently following fractional distillation </w:t>
      </w:r>
      <w:proofErr w:type="spellStart"/>
      <w:r w:rsidRPr="00AB3038">
        <w:rPr>
          <w:lang w:eastAsia="en-GB"/>
        </w:rPr>
        <w:t>practicals</w:t>
      </w:r>
      <w:proofErr w:type="spellEnd"/>
      <w:r w:rsidRPr="00AB3038">
        <w:rPr>
          <w:lang w:eastAsia="en-GB"/>
        </w:rPr>
        <w:t>. The blue flame indicates a much cleaner burn: there are virtually no carbon particles to incandesce.</w:t>
      </w:r>
    </w:p>
    <w:p w14:paraId="45542A29" w14:textId="77777777" w:rsidR="00AB3038" w:rsidRPr="00AB3038" w:rsidRDefault="00AB3038" w:rsidP="00AB3038">
      <w:pPr>
        <w:pStyle w:val="RSCBasictext"/>
        <w:rPr>
          <w:lang w:eastAsia="en-GB"/>
        </w:rPr>
      </w:pPr>
      <w:r w:rsidRPr="00AB3038">
        <w:rPr>
          <w:lang w:eastAsia="en-GB"/>
        </w:rPr>
        <w:t xml:space="preserve">On addition of the potassium </w:t>
      </w:r>
      <w:proofErr w:type="gramStart"/>
      <w:r w:rsidRPr="00AB3038">
        <w:rPr>
          <w:lang w:eastAsia="en-GB"/>
        </w:rPr>
        <w:t>manganate(</w:t>
      </w:r>
      <w:proofErr w:type="gramEnd"/>
      <w:r w:rsidRPr="00AB3038">
        <w:rPr>
          <w:lang w:eastAsia="en-GB"/>
        </w:rPr>
        <w:t>VII), the reaction is:</w:t>
      </w:r>
    </w:p>
    <w:p w14:paraId="20451999" w14:textId="4D751C89" w:rsidR="00DB60D9" w:rsidRPr="0023269B" w:rsidRDefault="00000000" w:rsidP="000C227B">
      <w:pPr>
        <w:pStyle w:val="RSCBasictext"/>
        <w:rPr>
          <w:iCs/>
        </w:rPr>
      </w:pPr>
      <m:oMathPara>
        <m:oMath>
          <m:sSub>
            <m:sSubPr>
              <m:ctrlPr>
                <w:rPr>
                  <w:rFonts w:ascii="Cambria Math" w:hAnsi="Cambria Math"/>
                  <w:iCs/>
                </w:rPr>
              </m:ctrlPr>
            </m:sSubPr>
            <m:e>
              <m:sSup>
                <m:sSupPr>
                  <m:ctrlPr>
                    <w:rPr>
                      <w:rFonts w:ascii="Cambria Math" w:hAnsi="Cambria Math"/>
                      <w:iCs/>
                    </w:rPr>
                  </m:ctrlPr>
                </m:sSupPr>
                <m:e>
                  <m:r>
                    <m:rPr>
                      <m:sty m:val="p"/>
                    </m:rPr>
                    <w:rPr>
                      <w:rFonts w:ascii="Cambria Math" w:hAnsi="Cambria Math"/>
                    </w:rPr>
                    <m:t>2Mn</m:t>
                  </m:r>
                  <m:sSub>
                    <m:sSubPr>
                      <m:ctrlPr>
                        <w:rPr>
                          <w:rFonts w:ascii="Cambria Math" w:hAnsi="Cambria Math"/>
                          <w:iCs/>
                        </w:rPr>
                      </m:ctrlPr>
                    </m:sSubPr>
                    <m:e>
                      <m:r>
                        <m:rPr>
                          <m:sty m:val="p"/>
                        </m:rPr>
                        <w:rPr>
                          <w:rFonts w:ascii="Cambria Math" w:hAnsi="Cambria Math"/>
                        </w:rPr>
                        <m:t>O</m:t>
                      </m:r>
                    </m:e>
                    <m:sub>
                      <m:r>
                        <w:rPr>
                          <w:rFonts w:ascii="Cambria Math" w:hAnsi="Cambria Math"/>
                        </w:rPr>
                        <m:t>4</m:t>
                      </m:r>
                    </m:sub>
                  </m:sSub>
                </m:e>
                <m:sup>
                  <m:r>
                    <w:rPr>
                      <w:rFonts w:ascii="Cambria Math" w:hAnsi="Cambria Math"/>
                    </w:rPr>
                    <m:t>-</m:t>
                  </m:r>
                </m:sup>
              </m:sSup>
            </m:e>
            <m:sub>
              <m:r>
                <m:rPr>
                  <m:sty m:val="p"/>
                </m:rPr>
                <w:rPr>
                  <w:rFonts w:ascii="Cambria Math" w:hAnsi="Cambria Math"/>
                </w:rPr>
                <m:t>(aq)</m:t>
              </m:r>
            </m:sub>
          </m:sSub>
          <m:r>
            <m:rPr>
              <m:sty m:val="p"/>
            </m:rPr>
            <w:rPr>
              <w:rFonts w:ascii="Cambria Math" w:hAnsi="Cambria Math"/>
            </w:rPr>
            <m:t xml:space="preserve">+ </m:t>
          </m:r>
          <m:sSub>
            <m:sSubPr>
              <m:ctrlPr>
                <w:rPr>
                  <w:rFonts w:ascii="Cambria Math" w:hAnsi="Cambria Math"/>
                  <w:iCs/>
                </w:rPr>
              </m:ctrlPr>
            </m:sSubPr>
            <m:e>
              <m:r>
                <m:rPr>
                  <m:sty m:val="p"/>
                </m:rPr>
                <w:rPr>
                  <w:rFonts w:ascii="Cambria Math" w:hAnsi="Cambria Math"/>
                </w:rPr>
                <m:t>3H </m:t>
              </m:r>
            </m:e>
            <m:sub>
              <m:r>
                <w:rPr>
                  <w:rFonts w:ascii="Cambria Math" w:hAnsi="Cambria Math"/>
                </w:rPr>
                <m:t>2</m:t>
              </m:r>
            </m:sub>
          </m:sSub>
          <m:sSub>
            <m:sSubPr>
              <m:ctrlPr>
                <w:rPr>
                  <w:rFonts w:ascii="Cambria Math" w:hAnsi="Cambria Math"/>
                  <w:iCs/>
                </w:rPr>
              </m:ctrlPr>
            </m:sSubPr>
            <m:e>
              <m:r>
                <m:rPr>
                  <m:sty m:val="p"/>
                </m:rPr>
                <w:rPr>
                  <w:rFonts w:ascii="Cambria Math" w:hAnsi="Cambria Math"/>
                </w:rPr>
                <m:t>O</m:t>
              </m:r>
            </m:e>
            <m:sub>
              <m:r>
                <w:rPr>
                  <w:rFonts w:ascii="Cambria Math" w:hAnsi="Cambria Math"/>
                </w:rPr>
                <m:t>2</m:t>
              </m:r>
              <m:r>
                <m:rPr>
                  <m:sty m:val="p"/>
                </m:rPr>
                <w:rPr>
                  <w:rFonts w:ascii="Cambria Math" w:hAnsi="Cambria Math"/>
                </w:rPr>
                <m:t>(aq)</m:t>
              </m:r>
            </m:sub>
          </m:sSub>
          <m:r>
            <m:rPr>
              <m:sty m:val="p"/>
            </m:rPr>
            <w:rPr>
              <w:rFonts w:ascii="Cambria Math" w:hAnsi="Cambria Math"/>
            </w:rPr>
            <m:t>→ 2Mn</m:t>
          </m:r>
          <m:sSub>
            <m:sSubPr>
              <m:ctrlPr>
                <w:rPr>
                  <w:rFonts w:ascii="Cambria Math" w:hAnsi="Cambria Math"/>
                  <w:iCs/>
                </w:rPr>
              </m:ctrlPr>
            </m:sSubPr>
            <m:e>
              <m:r>
                <m:rPr>
                  <m:sty m:val="p"/>
                </m:rPr>
                <w:rPr>
                  <w:rFonts w:ascii="Cambria Math" w:hAnsi="Cambria Math"/>
                </w:rPr>
                <m:t>O</m:t>
              </m:r>
            </m:e>
            <m:sub>
              <m:r>
                <w:rPr>
                  <w:rFonts w:ascii="Cambria Math" w:hAnsi="Cambria Math"/>
                </w:rPr>
                <m:t>2</m:t>
              </m:r>
              <m:r>
                <m:rPr>
                  <m:sty m:val="p"/>
                </m:rPr>
                <w:rPr>
                  <w:rFonts w:ascii="Cambria Math" w:hAnsi="Cambria Math"/>
                </w:rPr>
                <m:t>(s)</m:t>
              </m:r>
            </m:sub>
          </m:sSub>
          <m:r>
            <m:rPr>
              <m:sty m:val="p"/>
            </m:rPr>
            <w:rPr>
              <w:rFonts w:ascii="Cambria Math" w:hAnsi="Cambria Math"/>
            </w:rPr>
            <m:t xml:space="preserve"> + </m:t>
          </m:r>
          <m:sSub>
            <m:sSubPr>
              <m:ctrlPr>
                <w:rPr>
                  <w:rFonts w:ascii="Cambria Math" w:hAnsi="Cambria Math"/>
                  <w:iCs/>
                </w:rPr>
              </m:ctrlPr>
            </m:sSubPr>
            <m:e>
              <m:r>
                <m:rPr>
                  <m:sty m:val="p"/>
                </m:rPr>
                <w:rPr>
                  <w:rFonts w:ascii="Cambria Math" w:hAnsi="Cambria Math"/>
                </w:rPr>
                <m:t>2H</m:t>
              </m:r>
            </m:e>
            <m:sub>
              <m:r>
                <w:rPr>
                  <w:rFonts w:ascii="Cambria Math" w:hAnsi="Cambria Math"/>
                </w:rPr>
                <m:t>2</m:t>
              </m:r>
            </m:sub>
          </m:sSub>
          <m:r>
            <m:rPr>
              <m:sty m:val="p"/>
            </m:rPr>
            <w:rPr>
              <w:rFonts w:ascii="Cambria Math" w:hAnsi="Cambria Math"/>
            </w:rPr>
            <m:t> </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(l)</m:t>
              </m:r>
            </m:sub>
          </m:sSub>
          <m:r>
            <m:rPr>
              <m:sty m:val="p"/>
            </m:rPr>
            <w:rPr>
              <w:rFonts w:ascii="Cambria Math" w:hAnsi="Cambria Math"/>
            </w:rPr>
            <m:t xml:space="preserve"> + </m:t>
          </m:r>
          <m:sSub>
            <m:sSubPr>
              <m:ctrlPr>
                <w:rPr>
                  <w:rFonts w:ascii="Cambria Math" w:hAnsi="Cambria Math"/>
                  <w:iCs/>
                </w:rPr>
              </m:ctrlPr>
            </m:sSubPr>
            <m:e>
              <m:r>
                <m:rPr>
                  <m:sty m:val="p"/>
                </m:rPr>
                <w:rPr>
                  <w:rFonts w:ascii="Cambria Math" w:hAnsi="Cambria Math"/>
                </w:rPr>
                <m:t>3O</m:t>
              </m:r>
            </m:e>
            <m:sub>
              <m:r>
                <w:rPr>
                  <w:rFonts w:ascii="Cambria Math" w:hAnsi="Cambria Math"/>
                </w:rPr>
                <m:t>2</m:t>
              </m:r>
              <m:r>
                <m:rPr>
                  <m:sty m:val="p"/>
                </m:rPr>
                <w:rPr>
                  <w:rFonts w:ascii="Cambria Math" w:hAnsi="Cambria Math"/>
                </w:rPr>
                <m:t>(g)</m:t>
              </m:r>
            </m:sub>
          </m:sSub>
          <m:r>
            <m:rPr>
              <m:sty m:val="p"/>
            </m:rPr>
            <w:rPr>
              <w:rFonts w:ascii="Cambria Math" w:hAnsi="Cambria Math"/>
            </w:rPr>
            <m:t xml:space="preserve">+ </m:t>
          </m:r>
          <m:sSub>
            <m:sSubPr>
              <m:ctrlPr>
                <w:rPr>
                  <w:rFonts w:ascii="Cambria Math" w:hAnsi="Cambria Math"/>
                  <w:iCs/>
                </w:rPr>
              </m:ctrlPr>
            </m:sSubPr>
            <m:e>
              <m:sSup>
                <m:sSupPr>
                  <m:ctrlPr>
                    <w:rPr>
                      <w:rFonts w:ascii="Cambria Math" w:hAnsi="Cambria Math"/>
                      <w:iCs/>
                    </w:rPr>
                  </m:ctrlPr>
                </m:sSupPr>
                <m:e>
                  <m:r>
                    <m:rPr>
                      <m:sty m:val="p"/>
                    </m:rPr>
                    <w:rPr>
                      <w:rFonts w:ascii="Cambria Math" w:hAnsi="Cambria Math"/>
                    </w:rPr>
                    <m:t>2OH</m:t>
                  </m:r>
                </m:e>
                <m:sup>
                  <m:r>
                    <w:rPr>
                      <w:rFonts w:ascii="Cambria Math" w:hAnsi="Cambria Math"/>
                    </w:rPr>
                    <m:t>-</m:t>
                  </m:r>
                </m:sup>
              </m:sSup>
            </m:e>
            <m:sub>
              <m:r>
                <m:rPr>
                  <m:sty m:val="p"/>
                </m:rPr>
                <w:rPr>
                  <w:rFonts w:ascii="Cambria Math" w:hAnsi="Cambria Math"/>
                </w:rPr>
                <m:t>(aq)</m:t>
              </m:r>
            </m:sub>
          </m:sSub>
        </m:oMath>
      </m:oMathPara>
    </w:p>
    <w:p w14:paraId="45D823A6" w14:textId="77777777" w:rsidR="00721A07" w:rsidRPr="00721A07" w:rsidRDefault="00721A07" w:rsidP="00721A07">
      <w:pPr>
        <w:pStyle w:val="RSCBasictext"/>
      </w:pPr>
      <w:r w:rsidRPr="00721A07">
        <w:t xml:space="preserve">The flame will rise </w:t>
      </w:r>
      <w:proofErr w:type="gramStart"/>
      <w:r w:rsidRPr="00721A07">
        <w:t>immediately</w:t>
      </w:r>
      <w:proofErr w:type="gramEnd"/>
      <w:r w:rsidRPr="00721A07">
        <w:t xml:space="preserve"> and the lilac colour will reveal the presence of the potassium compound you have added. Rhythmic pops and bangs appear as the evolved oxygen accelerates the burning of the ethanol.</w:t>
      </w:r>
    </w:p>
    <w:p w14:paraId="0FDC6FF3" w14:textId="77777777" w:rsidR="00721A07" w:rsidRPr="00721A07" w:rsidRDefault="00721A07" w:rsidP="00721A07">
      <w:pPr>
        <w:pStyle w:val="RSCBasictext"/>
      </w:pPr>
      <w:r w:rsidRPr="00721A07">
        <w:t>Although I wouldn’t normally use this demonstration while teaching reaction rates, it is worth noting how particle size plays a big role in this demonstration – larger potassium manganate(vii) crystals appear to produce more infrequent and louder explosions than smaller ones. Presumably, larger crystals take longer to produce an explosive mixture in a local diffusion-limited ‘pocket’ of vaporised fuel and oxygen. The smaller crystals will evolve gas faster and reach an explosive mixture more quickly, allowing only a small ‘pocket’ of gas to form. I would be the first to admit, however, that explosions resulting from heterogenous reactions are rarely as simple as they first appear!</w:t>
      </w:r>
    </w:p>
    <w:p w14:paraId="56B60832" w14:textId="77777777" w:rsidR="00721A07" w:rsidRPr="00F74583" w:rsidRDefault="00721A07" w:rsidP="000C227B">
      <w:pPr>
        <w:pStyle w:val="RSCBasictext"/>
      </w:pPr>
    </w:p>
    <w:sectPr w:rsidR="00721A07" w:rsidRPr="00F74583" w:rsidSect="00231C1C">
      <w:headerReference w:type="default" r:id="rId14"/>
      <w:footerReference w:type="default" r:id="rId15"/>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D566" w14:textId="77777777" w:rsidR="00C14875" w:rsidRDefault="00C14875" w:rsidP="008A1B0B">
      <w:pPr>
        <w:spacing w:after="0" w:line="240" w:lineRule="auto"/>
      </w:pPr>
      <w:r>
        <w:separator/>
      </w:r>
    </w:p>
  </w:endnote>
  <w:endnote w:type="continuationSeparator" w:id="0">
    <w:p w14:paraId="6F0F5BA8" w14:textId="77777777" w:rsidR="00C14875" w:rsidRDefault="00C14875"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7C60C361"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815433">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FDA01" w14:textId="77777777" w:rsidR="00C14875" w:rsidRDefault="00C14875" w:rsidP="008A1B0B">
      <w:pPr>
        <w:spacing w:after="0" w:line="240" w:lineRule="auto"/>
      </w:pPr>
      <w:r>
        <w:separator/>
      </w:r>
    </w:p>
  </w:footnote>
  <w:footnote w:type="continuationSeparator" w:id="0">
    <w:p w14:paraId="5B764114" w14:textId="77777777" w:rsidR="00C14875" w:rsidRDefault="00C14875"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346EAABC" w:rsidR="008A1B0B" w:rsidRDefault="00104CB2" w:rsidP="008D7A53">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03C1906C" wp14:editId="4BC43DF0">
          <wp:simplePos x="0" y="0"/>
          <wp:positionH relativeFrom="column">
            <wp:posOffset>-542925</wp:posOffset>
          </wp:positionH>
          <wp:positionV relativeFrom="paragraph">
            <wp:posOffset>40640</wp:posOffset>
          </wp:positionV>
          <wp:extent cx="2160905" cy="3625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0905" cy="362585"/>
                  </a:xfrm>
                  <a:prstGeom prst="rect">
                    <a:avLst/>
                  </a:prstGeom>
                </pic:spPr>
              </pic:pic>
            </a:graphicData>
          </a:graphic>
        </wp:anchor>
      </w:drawing>
    </w:r>
    <w:r w:rsidR="008D7A53" w:rsidRPr="00DF7826">
      <w:rPr>
        <w:rFonts w:ascii="Century Gothic" w:hAnsi="Century Gothic"/>
        <w:b/>
        <w:bCs/>
        <w:noProof/>
        <w:color w:val="991E66"/>
        <w:sz w:val="30"/>
        <w:szCs w:val="30"/>
      </w:rPr>
      <w:drawing>
        <wp:anchor distT="0" distB="0" distL="114300" distR="114300" simplePos="0" relativeHeight="251658241"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DF7826">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071B48">
      <w:rPr>
        <w:rFonts w:ascii="Century Gothic" w:hAnsi="Century Gothic"/>
        <w:b/>
        <w:bCs/>
        <w:color w:val="991E66"/>
        <w:sz w:val="30"/>
        <w:szCs w:val="30"/>
      </w:rPr>
      <w:t xml:space="preserve">Exhibition </w:t>
    </w:r>
    <w:r w:rsidR="00071B48" w:rsidRPr="00B63F7E">
      <w:rPr>
        <w:rFonts w:ascii="Century Gothic" w:hAnsi="Century Gothic"/>
        <w:b/>
        <w:bCs/>
        <w:color w:val="991E66"/>
        <w:sz w:val="30"/>
        <w:szCs w:val="30"/>
      </w:rPr>
      <w:t>chemistry</w:t>
    </w:r>
    <w:r w:rsidR="00557BF2" w:rsidRPr="00DF7826">
      <w:rPr>
        <w:rFonts w:ascii="Century Gothic" w:hAnsi="Century Gothic"/>
        <w:b/>
        <w:bCs/>
        <w:color w:val="FF0000"/>
        <w:sz w:val="24"/>
        <w:szCs w:val="24"/>
      </w:rPr>
      <w:t xml:space="preserve"> </w:t>
    </w:r>
  </w:p>
  <w:p w14:paraId="014B122C" w14:textId="300380B9" w:rsidR="00557BF2" w:rsidRPr="00557BF2" w:rsidRDefault="00DC0D9C" w:rsidP="00ED0961">
    <w:pPr>
      <w:pStyle w:val="RSCURL"/>
      <w:jc w:val="right"/>
    </w:pPr>
    <w:r>
      <w:rPr>
        <w:color w:val="000000" w:themeColor="text1"/>
      </w:rPr>
      <w:t>Available</w:t>
    </w:r>
    <w:r w:rsidR="008B34F9">
      <w:rPr>
        <w:color w:val="000000" w:themeColor="text1"/>
      </w:rPr>
      <w:t xml:space="preserve"> from</w:t>
    </w:r>
    <w:r w:rsidR="00557BF2" w:rsidRPr="00A56431">
      <w:rPr>
        <w:color w:val="000000" w:themeColor="text1"/>
      </w:rPr>
      <w:t xml:space="preserve"> </w:t>
    </w:r>
    <w:hyperlink r:id="rId4" w:history="1">
      <w:r w:rsidR="001C3484" w:rsidRPr="001C3484">
        <w:rPr>
          <w:rStyle w:val="Hyperlink"/>
          <w:color w:val="991E66" w:themeColor="accent1"/>
          <w:u w:val="none"/>
          <w:lang w:eastAsia="en-GB"/>
        </w:rPr>
        <w:t>rsc.li/4pRTF9C</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F55A3C"/>
    <w:multiLevelType w:val="hybridMultilevel"/>
    <w:tmpl w:val="EC92222E"/>
    <w:lvl w:ilvl="0" w:tplc="8CC26048">
      <w:start w:val="1"/>
      <w:numFmt w:val="bullet"/>
      <w:lvlText w:val=""/>
      <w:lvlJc w:val="left"/>
      <w:pPr>
        <w:ind w:left="720" w:hanging="360"/>
      </w:pPr>
      <w:rPr>
        <w:rFonts w:ascii="Symbol" w:hAnsi="Symbol" w:hint="default"/>
        <w:color w:val="991E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7D34E4"/>
    <w:multiLevelType w:val="hybridMultilevel"/>
    <w:tmpl w:val="5A40AD10"/>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36F0B44"/>
    <w:multiLevelType w:val="hybridMultilevel"/>
    <w:tmpl w:val="FA6CAFA4"/>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793E90"/>
    <w:multiLevelType w:val="hybridMultilevel"/>
    <w:tmpl w:val="74F4338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0605598">
    <w:abstractNumId w:val="20"/>
  </w:num>
  <w:num w:numId="2" w16cid:durableId="46608390">
    <w:abstractNumId w:val="10"/>
  </w:num>
  <w:num w:numId="3" w16cid:durableId="767046158">
    <w:abstractNumId w:val="5"/>
  </w:num>
  <w:num w:numId="4" w16cid:durableId="1754862014">
    <w:abstractNumId w:val="8"/>
  </w:num>
  <w:num w:numId="5" w16cid:durableId="522865220">
    <w:abstractNumId w:val="17"/>
  </w:num>
  <w:num w:numId="6" w16cid:durableId="1092093063">
    <w:abstractNumId w:val="19"/>
  </w:num>
  <w:num w:numId="7" w16cid:durableId="1042751722">
    <w:abstractNumId w:val="1"/>
  </w:num>
  <w:num w:numId="8" w16cid:durableId="339281078">
    <w:abstractNumId w:val="4"/>
  </w:num>
  <w:num w:numId="9" w16cid:durableId="166483661">
    <w:abstractNumId w:val="3"/>
  </w:num>
  <w:num w:numId="10" w16cid:durableId="739593575">
    <w:abstractNumId w:val="2"/>
  </w:num>
  <w:num w:numId="11" w16cid:durableId="1035690940">
    <w:abstractNumId w:val="11"/>
  </w:num>
  <w:num w:numId="12" w16cid:durableId="1470199975">
    <w:abstractNumId w:val="2"/>
    <w:lvlOverride w:ilvl="0">
      <w:startOverride w:val="1"/>
    </w:lvlOverride>
  </w:num>
  <w:num w:numId="13" w16cid:durableId="1479612613">
    <w:abstractNumId w:val="16"/>
  </w:num>
  <w:num w:numId="14" w16cid:durableId="1674912029">
    <w:abstractNumId w:val="14"/>
  </w:num>
  <w:num w:numId="15" w16cid:durableId="2099716115">
    <w:abstractNumId w:val="9"/>
  </w:num>
  <w:num w:numId="16" w16cid:durableId="649024404">
    <w:abstractNumId w:val="0"/>
  </w:num>
  <w:num w:numId="17" w16cid:durableId="1550605262">
    <w:abstractNumId w:val="6"/>
  </w:num>
  <w:num w:numId="18" w16cid:durableId="181480924">
    <w:abstractNumId w:val="7"/>
  </w:num>
  <w:num w:numId="19" w16cid:durableId="2003771580">
    <w:abstractNumId w:val="3"/>
    <w:lvlOverride w:ilvl="0">
      <w:startOverride w:val="1"/>
    </w:lvlOverride>
  </w:num>
  <w:num w:numId="20" w16cid:durableId="2139297354">
    <w:abstractNumId w:val="18"/>
  </w:num>
  <w:num w:numId="21" w16cid:durableId="1368411444">
    <w:abstractNumId w:val="1"/>
  </w:num>
  <w:num w:numId="22" w16cid:durableId="1597057039">
    <w:abstractNumId w:val="15"/>
  </w:num>
  <w:num w:numId="23" w16cid:durableId="1359821052">
    <w:abstractNumId w:val="12"/>
  </w:num>
  <w:num w:numId="24" w16cid:durableId="1433546299">
    <w:abstractNumId w:val="21"/>
  </w:num>
  <w:num w:numId="25" w16cid:durableId="9872482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624"/>
    <w:rsid w:val="000112BF"/>
    <w:rsid w:val="00022B65"/>
    <w:rsid w:val="00044270"/>
    <w:rsid w:val="00046615"/>
    <w:rsid w:val="00051378"/>
    <w:rsid w:val="0005730B"/>
    <w:rsid w:val="000657C6"/>
    <w:rsid w:val="00071B48"/>
    <w:rsid w:val="00082470"/>
    <w:rsid w:val="00084981"/>
    <w:rsid w:val="000878DA"/>
    <w:rsid w:val="00087C7B"/>
    <w:rsid w:val="0009292F"/>
    <w:rsid w:val="000B0210"/>
    <w:rsid w:val="000B0FE6"/>
    <w:rsid w:val="000B3988"/>
    <w:rsid w:val="000C227B"/>
    <w:rsid w:val="000C4712"/>
    <w:rsid w:val="000C56DB"/>
    <w:rsid w:val="000C781E"/>
    <w:rsid w:val="000D7B9A"/>
    <w:rsid w:val="000E6E48"/>
    <w:rsid w:val="00104CB2"/>
    <w:rsid w:val="001106C2"/>
    <w:rsid w:val="00111DC5"/>
    <w:rsid w:val="00145BB7"/>
    <w:rsid w:val="00146FCD"/>
    <w:rsid w:val="00147637"/>
    <w:rsid w:val="00170732"/>
    <w:rsid w:val="00180C62"/>
    <w:rsid w:val="001A278F"/>
    <w:rsid w:val="001C2C64"/>
    <w:rsid w:val="001C3484"/>
    <w:rsid w:val="001C772C"/>
    <w:rsid w:val="001D1067"/>
    <w:rsid w:val="001F103F"/>
    <w:rsid w:val="001F708C"/>
    <w:rsid w:val="00210452"/>
    <w:rsid w:val="002304A7"/>
    <w:rsid w:val="00231C1C"/>
    <w:rsid w:val="0023269B"/>
    <w:rsid w:val="00243290"/>
    <w:rsid w:val="002549BE"/>
    <w:rsid w:val="00255470"/>
    <w:rsid w:val="00257606"/>
    <w:rsid w:val="00260D45"/>
    <w:rsid w:val="00266B59"/>
    <w:rsid w:val="002729CF"/>
    <w:rsid w:val="002A3C79"/>
    <w:rsid w:val="002B06C9"/>
    <w:rsid w:val="002C2223"/>
    <w:rsid w:val="002D0681"/>
    <w:rsid w:val="002D34BA"/>
    <w:rsid w:val="002E47CA"/>
    <w:rsid w:val="002F2A90"/>
    <w:rsid w:val="002F35A3"/>
    <w:rsid w:val="002F412E"/>
    <w:rsid w:val="003059AB"/>
    <w:rsid w:val="003066BC"/>
    <w:rsid w:val="00307510"/>
    <w:rsid w:val="0035129D"/>
    <w:rsid w:val="00362CD9"/>
    <w:rsid w:val="003716B9"/>
    <w:rsid w:val="00383A44"/>
    <w:rsid w:val="00385B8C"/>
    <w:rsid w:val="003979ED"/>
    <w:rsid w:val="003B7300"/>
    <w:rsid w:val="003C643A"/>
    <w:rsid w:val="003D6657"/>
    <w:rsid w:val="004014B4"/>
    <w:rsid w:val="00414DC8"/>
    <w:rsid w:val="004302BB"/>
    <w:rsid w:val="0044650F"/>
    <w:rsid w:val="00446F05"/>
    <w:rsid w:val="00447C7A"/>
    <w:rsid w:val="0046389A"/>
    <w:rsid w:val="0047157B"/>
    <w:rsid w:val="00480F71"/>
    <w:rsid w:val="00485CEA"/>
    <w:rsid w:val="0048754D"/>
    <w:rsid w:val="00495EF3"/>
    <w:rsid w:val="004A7AFF"/>
    <w:rsid w:val="004B296E"/>
    <w:rsid w:val="005051B6"/>
    <w:rsid w:val="00512B6D"/>
    <w:rsid w:val="00516F80"/>
    <w:rsid w:val="0052289F"/>
    <w:rsid w:val="00531227"/>
    <w:rsid w:val="00535FC6"/>
    <w:rsid w:val="00543133"/>
    <w:rsid w:val="0055336A"/>
    <w:rsid w:val="00557BF2"/>
    <w:rsid w:val="00580BE3"/>
    <w:rsid w:val="005921C3"/>
    <w:rsid w:val="005A5001"/>
    <w:rsid w:val="005B4AFE"/>
    <w:rsid w:val="005D5D27"/>
    <w:rsid w:val="005D5FDF"/>
    <w:rsid w:val="005F286E"/>
    <w:rsid w:val="005F4A63"/>
    <w:rsid w:val="00623DCE"/>
    <w:rsid w:val="00665AA0"/>
    <w:rsid w:val="00673FBB"/>
    <w:rsid w:val="0067760C"/>
    <w:rsid w:val="006819EF"/>
    <w:rsid w:val="006820BE"/>
    <w:rsid w:val="00687715"/>
    <w:rsid w:val="00690793"/>
    <w:rsid w:val="00690E20"/>
    <w:rsid w:val="006C3B95"/>
    <w:rsid w:val="006C5C02"/>
    <w:rsid w:val="006D790E"/>
    <w:rsid w:val="006E13FB"/>
    <w:rsid w:val="006E68FB"/>
    <w:rsid w:val="006E6E0B"/>
    <w:rsid w:val="007042E5"/>
    <w:rsid w:val="00713406"/>
    <w:rsid w:val="00714880"/>
    <w:rsid w:val="00721A07"/>
    <w:rsid w:val="00747E9A"/>
    <w:rsid w:val="00747FE6"/>
    <w:rsid w:val="0077600A"/>
    <w:rsid w:val="007775D6"/>
    <w:rsid w:val="007809C8"/>
    <w:rsid w:val="00782622"/>
    <w:rsid w:val="007A08F5"/>
    <w:rsid w:val="007B56F2"/>
    <w:rsid w:val="007B73D9"/>
    <w:rsid w:val="007D25DE"/>
    <w:rsid w:val="007D5468"/>
    <w:rsid w:val="007D6D75"/>
    <w:rsid w:val="007D7F9E"/>
    <w:rsid w:val="007E3BE9"/>
    <w:rsid w:val="007F2BF3"/>
    <w:rsid w:val="0080176B"/>
    <w:rsid w:val="00803338"/>
    <w:rsid w:val="00815433"/>
    <w:rsid w:val="0081721A"/>
    <w:rsid w:val="00835B9C"/>
    <w:rsid w:val="00844482"/>
    <w:rsid w:val="00845E34"/>
    <w:rsid w:val="00862463"/>
    <w:rsid w:val="0086752D"/>
    <w:rsid w:val="00882B51"/>
    <w:rsid w:val="00884BA6"/>
    <w:rsid w:val="0089187A"/>
    <w:rsid w:val="00893B8E"/>
    <w:rsid w:val="00893F3D"/>
    <w:rsid w:val="008A1B0B"/>
    <w:rsid w:val="008A4E64"/>
    <w:rsid w:val="008B34F9"/>
    <w:rsid w:val="008B54F1"/>
    <w:rsid w:val="008D54DC"/>
    <w:rsid w:val="008D7A53"/>
    <w:rsid w:val="008F30C2"/>
    <w:rsid w:val="00905E09"/>
    <w:rsid w:val="009060BE"/>
    <w:rsid w:val="00922DAE"/>
    <w:rsid w:val="009272D0"/>
    <w:rsid w:val="00942047"/>
    <w:rsid w:val="009826F0"/>
    <w:rsid w:val="00986213"/>
    <w:rsid w:val="0098717E"/>
    <w:rsid w:val="00993329"/>
    <w:rsid w:val="009A4D3C"/>
    <w:rsid w:val="009A6718"/>
    <w:rsid w:val="009A7E70"/>
    <w:rsid w:val="009B778D"/>
    <w:rsid w:val="009C580B"/>
    <w:rsid w:val="00A13442"/>
    <w:rsid w:val="00A154A9"/>
    <w:rsid w:val="00A166AB"/>
    <w:rsid w:val="00A35AD9"/>
    <w:rsid w:val="00A5348B"/>
    <w:rsid w:val="00A56E8A"/>
    <w:rsid w:val="00A571EB"/>
    <w:rsid w:val="00A5740C"/>
    <w:rsid w:val="00A614BE"/>
    <w:rsid w:val="00A725C3"/>
    <w:rsid w:val="00A741DF"/>
    <w:rsid w:val="00AA2485"/>
    <w:rsid w:val="00AB3038"/>
    <w:rsid w:val="00AE290A"/>
    <w:rsid w:val="00B226A7"/>
    <w:rsid w:val="00B30A6E"/>
    <w:rsid w:val="00B32882"/>
    <w:rsid w:val="00B44A62"/>
    <w:rsid w:val="00B63F7E"/>
    <w:rsid w:val="00B6738C"/>
    <w:rsid w:val="00B67A03"/>
    <w:rsid w:val="00B71E66"/>
    <w:rsid w:val="00B97B00"/>
    <w:rsid w:val="00BA3729"/>
    <w:rsid w:val="00BA4912"/>
    <w:rsid w:val="00BB5BB3"/>
    <w:rsid w:val="00C01E70"/>
    <w:rsid w:val="00C14875"/>
    <w:rsid w:val="00C165B2"/>
    <w:rsid w:val="00C1703F"/>
    <w:rsid w:val="00C43346"/>
    <w:rsid w:val="00C5249A"/>
    <w:rsid w:val="00C85D68"/>
    <w:rsid w:val="00CA6F07"/>
    <w:rsid w:val="00CB2F38"/>
    <w:rsid w:val="00CB57EA"/>
    <w:rsid w:val="00CD3159"/>
    <w:rsid w:val="00CD3907"/>
    <w:rsid w:val="00CD3C25"/>
    <w:rsid w:val="00CD5E3C"/>
    <w:rsid w:val="00CE7559"/>
    <w:rsid w:val="00CF6E3E"/>
    <w:rsid w:val="00D00AB5"/>
    <w:rsid w:val="00D06F9F"/>
    <w:rsid w:val="00D17CC0"/>
    <w:rsid w:val="00D26906"/>
    <w:rsid w:val="00D45D99"/>
    <w:rsid w:val="00D52371"/>
    <w:rsid w:val="00D60D30"/>
    <w:rsid w:val="00D66C36"/>
    <w:rsid w:val="00D96BF4"/>
    <w:rsid w:val="00DB60D9"/>
    <w:rsid w:val="00DC0D9C"/>
    <w:rsid w:val="00DD2A56"/>
    <w:rsid w:val="00DD432E"/>
    <w:rsid w:val="00DD6DBE"/>
    <w:rsid w:val="00DE0070"/>
    <w:rsid w:val="00DE07EA"/>
    <w:rsid w:val="00DF1766"/>
    <w:rsid w:val="00DF7047"/>
    <w:rsid w:val="00DF7826"/>
    <w:rsid w:val="00E045BB"/>
    <w:rsid w:val="00E06378"/>
    <w:rsid w:val="00E143D7"/>
    <w:rsid w:val="00E26178"/>
    <w:rsid w:val="00E45EC3"/>
    <w:rsid w:val="00E567B5"/>
    <w:rsid w:val="00E779C0"/>
    <w:rsid w:val="00E95DE4"/>
    <w:rsid w:val="00EB23FB"/>
    <w:rsid w:val="00EB6FB9"/>
    <w:rsid w:val="00EC0680"/>
    <w:rsid w:val="00EC7EFF"/>
    <w:rsid w:val="00ED0961"/>
    <w:rsid w:val="00EF12E9"/>
    <w:rsid w:val="00F1466A"/>
    <w:rsid w:val="00F3727E"/>
    <w:rsid w:val="00F56A3B"/>
    <w:rsid w:val="00F74583"/>
    <w:rsid w:val="00F776D0"/>
    <w:rsid w:val="00F80ECB"/>
    <w:rsid w:val="00F82E23"/>
    <w:rsid w:val="00F939D5"/>
    <w:rsid w:val="00FC3B24"/>
    <w:rsid w:val="00FE23DF"/>
    <w:rsid w:val="00FF49A7"/>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378A0481-0111-4E65-BB9B-DEBBBD32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3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IntenseEmphasis">
    <w:name w:val="Intense Emphasis"/>
    <w:basedOn w:val="DefaultParagraphFont"/>
    <w:uiPriority w:val="21"/>
    <w:qFormat/>
    <w:rsid w:val="005A5001"/>
    <w:rPr>
      <w:i/>
      <w:iCs/>
      <w:color w:val="991E66" w:themeColor="accent1"/>
    </w:rPr>
  </w:style>
  <w:style w:type="paragraph" w:customStyle="1" w:styleId="Standard">
    <w:name w:val="Standard"/>
    <w:uiPriority w:val="99"/>
    <w:semiHidden/>
    <w:rsid w:val="00071B48"/>
    <w:pPr>
      <w:suppressAutoHyphens/>
      <w:autoSpaceDN w:val="0"/>
      <w:spacing w:line="252" w:lineRule="auto"/>
    </w:pPr>
    <w:rPr>
      <w:rFonts w:ascii="Calibri" w:eastAsia="Calibri" w:hAnsi="Calibri" w:cs="Tahoma"/>
    </w:rPr>
  </w:style>
  <w:style w:type="character" w:styleId="CommentReference">
    <w:name w:val="annotation reference"/>
    <w:basedOn w:val="DefaultParagraphFont"/>
    <w:uiPriority w:val="99"/>
    <w:semiHidden/>
    <w:unhideWhenUsed/>
    <w:rsid w:val="00000624"/>
    <w:rPr>
      <w:sz w:val="16"/>
      <w:szCs w:val="16"/>
    </w:rPr>
  </w:style>
  <w:style w:type="paragraph" w:styleId="CommentText0">
    <w:name w:val="annotation text"/>
    <w:basedOn w:val="Normal"/>
    <w:link w:val="CommentTextChar"/>
    <w:uiPriority w:val="99"/>
    <w:unhideWhenUsed/>
    <w:rsid w:val="00000624"/>
    <w:pPr>
      <w:spacing w:line="240" w:lineRule="auto"/>
    </w:pPr>
  </w:style>
  <w:style w:type="character" w:customStyle="1" w:styleId="CommentTextChar">
    <w:name w:val="Comment Text Char"/>
    <w:basedOn w:val="DefaultParagraphFont"/>
    <w:link w:val="CommentText0"/>
    <w:uiPriority w:val="99"/>
    <w:rsid w:val="0000062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00624"/>
    <w:rPr>
      <w:b/>
      <w:bCs/>
    </w:rPr>
  </w:style>
  <w:style w:type="character" w:customStyle="1" w:styleId="CommentSubjectChar">
    <w:name w:val="Comment Subject Char"/>
    <w:basedOn w:val="CommentTextChar"/>
    <w:link w:val="CommentSubject"/>
    <w:uiPriority w:val="99"/>
    <w:semiHidden/>
    <w:rsid w:val="00000624"/>
    <w:rPr>
      <w:rFonts w:ascii="Arial" w:hAnsi="Arial" w:cs="Arial"/>
      <w:b/>
      <w:bCs/>
      <w:sz w:val="20"/>
      <w:szCs w:val="20"/>
      <w:lang w:eastAsia="zh-CN"/>
    </w:rPr>
  </w:style>
  <w:style w:type="character" w:styleId="FollowedHyperlink">
    <w:name w:val="FollowedHyperlink"/>
    <w:basedOn w:val="DefaultParagraphFont"/>
    <w:uiPriority w:val="99"/>
    <w:semiHidden/>
    <w:unhideWhenUsed/>
    <w:rsid w:val="00E567B5"/>
    <w:rPr>
      <w:color w:val="954F72" w:themeColor="followedHyperlink"/>
      <w:u w:val="single"/>
    </w:rPr>
  </w:style>
  <w:style w:type="paragraph" w:styleId="Revision">
    <w:name w:val="Revision"/>
    <w:hidden/>
    <w:uiPriority w:val="99"/>
    <w:semiHidden/>
    <w:rsid w:val="007D6D75"/>
    <w:pPr>
      <w:spacing w:after="0" w:line="240" w:lineRule="auto"/>
    </w:pPr>
    <w:rPr>
      <w:rFonts w:ascii="Arial" w:hAnsi="Arial" w:cs="Arial"/>
      <w:sz w:val="20"/>
      <w:szCs w:val="20"/>
      <w:lang w:eastAsia="zh-CN"/>
    </w:rPr>
  </w:style>
  <w:style w:type="character" w:styleId="PlaceholderText">
    <w:name w:val="Placeholder Text"/>
    <w:basedOn w:val="DefaultParagraphFont"/>
    <w:uiPriority w:val="99"/>
    <w:semiHidden/>
    <w:rsid w:val="00CB57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941">
      <w:bodyDiv w:val="1"/>
      <w:marLeft w:val="0"/>
      <w:marRight w:val="0"/>
      <w:marTop w:val="0"/>
      <w:marBottom w:val="0"/>
      <w:divBdr>
        <w:top w:val="none" w:sz="0" w:space="0" w:color="auto"/>
        <w:left w:val="none" w:sz="0" w:space="0" w:color="auto"/>
        <w:bottom w:val="none" w:sz="0" w:space="0" w:color="auto"/>
        <w:right w:val="none" w:sz="0" w:space="0" w:color="auto"/>
      </w:divBdr>
    </w:div>
    <w:div w:id="96678071">
      <w:bodyDiv w:val="1"/>
      <w:marLeft w:val="0"/>
      <w:marRight w:val="0"/>
      <w:marTop w:val="0"/>
      <w:marBottom w:val="0"/>
      <w:divBdr>
        <w:top w:val="none" w:sz="0" w:space="0" w:color="auto"/>
        <w:left w:val="none" w:sz="0" w:space="0" w:color="auto"/>
        <w:bottom w:val="none" w:sz="0" w:space="0" w:color="auto"/>
        <w:right w:val="none" w:sz="0" w:space="0" w:color="auto"/>
      </w:divBdr>
    </w:div>
    <w:div w:id="431436676">
      <w:bodyDiv w:val="1"/>
      <w:marLeft w:val="0"/>
      <w:marRight w:val="0"/>
      <w:marTop w:val="0"/>
      <w:marBottom w:val="0"/>
      <w:divBdr>
        <w:top w:val="none" w:sz="0" w:space="0" w:color="auto"/>
        <w:left w:val="none" w:sz="0" w:space="0" w:color="auto"/>
        <w:bottom w:val="none" w:sz="0" w:space="0" w:color="auto"/>
        <w:right w:val="none" w:sz="0" w:space="0" w:color="auto"/>
      </w:divBdr>
    </w:div>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2058387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4llBcQ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Y0NR1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pRTF9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4pRTF9C" TargetMode="External"/></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customXml/itemProps2.xml><?xml version="1.0" encoding="utf-8"?>
<ds:datastoreItem xmlns:ds="http://schemas.openxmlformats.org/officeDocument/2006/customXml" ds:itemID="{92EB8393-8B52-455D-A40E-A3FD6AE6B2EA}">
  <ds:schemaRefs>
    <ds:schemaRef ds:uri="http://schemas.microsoft.com/sharepoint/v3/contenttype/forms"/>
  </ds:schemaRefs>
</ds:datastoreItem>
</file>

<file path=customXml/itemProps3.xml><?xml version="1.0" encoding="utf-8"?>
<ds:datastoreItem xmlns:ds="http://schemas.openxmlformats.org/officeDocument/2006/customXml" ds:itemID="{7437FAA5-0849-4990-B06C-F1A9AC7F2246}">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customXml/itemProps4.xml><?xml version="1.0" encoding="utf-8"?>
<ds:datastoreItem xmlns:ds="http://schemas.openxmlformats.org/officeDocument/2006/customXml" ds:itemID="{E6357AD8-73DB-4E6F-BA6C-756B0B237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833</Words>
  <Characters>4387</Characters>
  <Application>Microsoft Office Word</Application>
  <DocSecurity>0</DocSecurity>
  <Lines>87</Lines>
  <Paragraphs>35</Paragraphs>
  <ScaleCrop>false</ScaleCrop>
  <HeadingPairs>
    <vt:vector size="2" baseType="variant">
      <vt:variant>
        <vt:lpstr>Title</vt:lpstr>
      </vt:variant>
      <vt:variant>
        <vt:i4>1</vt:i4>
      </vt:variant>
    </vt:vector>
  </HeadingPairs>
  <TitlesOfParts>
    <vt:vector size="1" baseType="lpstr">
      <vt:lpstr>Cannon fire technician notes</vt:lpstr>
    </vt:vector>
  </TitlesOfParts>
  <Manager/>
  <Company>Royal Society of Chemistry</Company>
  <LinksUpToDate>false</LinksUpToDate>
  <CharactersWithSpaces>5206</CharactersWithSpaces>
  <SharedDoc>false</SharedDoc>
  <HyperlinkBase/>
  <HLinks>
    <vt:vector size="18" baseType="variant">
      <vt:variant>
        <vt:i4>4128864</vt:i4>
      </vt:variant>
      <vt:variant>
        <vt:i4>0</vt:i4>
      </vt:variant>
      <vt:variant>
        <vt:i4>0</vt:i4>
      </vt:variant>
      <vt:variant>
        <vt:i4>5</vt:i4>
      </vt:variant>
      <vt:variant>
        <vt:lpwstr>https://rsc.li/wheelbarrow/</vt:lpwstr>
      </vt:variant>
      <vt:variant>
        <vt:lpwstr/>
      </vt:variant>
      <vt:variant>
        <vt:i4>4128864</vt:i4>
      </vt:variant>
      <vt:variant>
        <vt:i4>0</vt:i4>
      </vt:variant>
      <vt:variant>
        <vt:i4>0</vt:i4>
      </vt:variant>
      <vt:variant>
        <vt:i4>5</vt:i4>
      </vt:variant>
      <vt:variant>
        <vt:lpwstr>https://rsc.li/wheelbarrow</vt:lpwstr>
      </vt:variant>
      <vt:variant>
        <vt:lpwstr/>
      </vt:variant>
      <vt:variant>
        <vt:i4>6029379</vt:i4>
      </vt:variant>
      <vt:variant>
        <vt:i4>0</vt:i4>
      </vt:variant>
      <vt:variant>
        <vt:i4>0</vt:i4>
      </vt:variant>
      <vt:variant>
        <vt:i4>5</vt:i4>
      </vt:variant>
      <vt:variant>
        <vt:lpwstr>https://edu.rsc.org/resources/explaining-our-health-and-safety-guidance/1752.article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Cannon fire technician notes</dc:title>
  <dc:subject/>
  <dc:creator>Royal Society of Chemistry</dc:creator>
  <cp:keywords>practical; exhibition chemistry; chemistry; investigation; ethanol combustion; demonstration; fuel</cp:keywords>
  <dc:description>From Cannon fire, Education in Chemistry, https://rsc.li/4pRTF9C</dc:description>
  <cp:lastModifiedBy>Hannah Griffiths</cp:lastModifiedBy>
  <cp:revision>6</cp:revision>
  <dcterms:created xsi:type="dcterms:W3CDTF">2026-04-02T14:42:00Z</dcterms:created>
  <dcterms:modified xsi:type="dcterms:W3CDTF">2026-04-02T14:49:00Z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0x010100E45D359969893149933A4D4A74E189F8</vt:lpwstr>
  </property>
</Properties>
</file>