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3242533C" w:rsidR="00A5740C" w:rsidRPr="007859BF" w:rsidRDefault="00E01C64" w:rsidP="007859BF">
      <w:pPr>
        <w:pStyle w:val="RSCH1"/>
      </w:pPr>
      <w:r>
        <w:t>Ionic bonding</w:t>
      </w:r>
      <w:r w:rsidR="00370C6F">
        <w:t xml:space="preserve"> and electron transfer</w:t>
      </w:r>
    </w:p>
    <w:p w14:paraId="4ABF9DFA" w14:textId="34F60C23" w:rsidR="00750024" w:rsidRDefault="00750024" w:rsidP="00750024">
      <w:pPr>
        <w:pStyle w:val="RSCBasictext"/>
        <w:rPr>
          <w:b/>
          <w:bCs/>
          <w:lang w:eastAsia="en-GB"/>
        </w:rPr>
      </w:pPr>
      <w:r w:rsidRPr="004A322A">
        <w:rPr>
          <w:lang w:eastAsia="en-GB"/>
        </w:rPr>
        <w:t xml:space="preserve">This resource is from the </w:t>
      </w:r>
      <w:r>
        <w:rPr>
          <w:b/>
          <w:bCs/>
          <w:lang w:eastAsia="en-GB"/>
        </w:rPr>
        <w:t>Stretch and challenge</w:t>
      </w:r>
      <w:r w:rsidRPr="004A322A">
        <w:rPr>
          <w:lang w:eastAsia="en-GB"/>
        </w:rPr>
        <w:t xml:space="preserve"> </w:t>
      </w:r>
      <w:r w:rsidR="004D531B">
        <w:rPr>
          <w:lang w:eastAsia="en-GB"/>
        </w:rPr>
        <w:t>collection</w:t>
      </w:r>
      <w:r w:rsidR="004D531B" w:rsidRPr="004A322A">
        <w:rPr>
          <w:lang w:eastAsia="en-GB"/>
        </w:rPr>
        <w:t xml:space="preserve"> </w:t>
      </w:r>
      <w:r w:rsidRPr="004A322A">
        <w:rPr>
          <w:lang w:eastAsia="en-GB"/>
        </w:rPr>
        <w:t xml:space="preserve">which can be viewed at: </w:t>
      </w:r>
      <w:hyperlink r:id="rId10" w:history="1">
        <w:r w:rsidR="00527E87" w:rsidRPr="00527E87">
          <w:rPr>
            <w:rStyle w:val="Hyperlink"/>
            <w:color w:val="C8102E"/>
          </w:rPr>
          <w:t>rsc.li/4jOvTrl</w:t>
        </w:r>
      </w:hyperlink>
      <w:r w:rsidRPr="004A322A">
        <w:rPr>
          <w:lang w:eastAsia="en-GB"/>
        </w:rPr>
        <w:t xml:space="preserve">. </w:t>
      </w:r>
      <w:r w:rsidR="008B6CE0">
        <w:rPr>
          <w:lang w:eastAsia="en-GB"/>
        </w:rPr>
        <w:t>Find</w:t>
      </w:r>
      <w:r>
        <w:rPr>
          <w:lang w:eastAsia="en-GB"/>
        </w:rPr>
        <w:t xml:space="preserve"> extension resources designed to fit into </w:t>
      </w:r>
      <w:r w:rsidR="008B6CE0">
        <w:rPr>
          <w:lang w:eastAsia="en-GB"/>
        </w:rPr>
        <w:t>curriculum</w:t>
      </w:r>
      <w:r>
        <w:rPr>
          <w:lang w:eastAsia="en-GB"/>
        </w:rPr>
        <w:t xml:space="preserve"> topics </w:t>
      </w:r>
      <w:r w:rsidR="008B6CE0">
        <w:rPr>
          <w:lang w:eastAsia="en-GB"/>
        </w:rPr>
        <w:t xml:space="preserve">for </w:t>
      </w:r>
      <w:r>
        <w:rPr>
          <w:lang w:eastAsia="en-GB"/>
        </w:rPr>
        <w:t>individual or whole class challenges</w:t>
      </w:r>
      <w:r w:rsidRPr="004A322A">
        <w:rPr>
          <w:lang w:eastAsia="en-GB"/>
        </w:rPr>
        <w:t xml:space="preserve">. </w:t>
      </w:r>
    </w:p>
    <w:p w14:paraId="6FDE0DA9" w14:textId="72E6BA7E" w:rsidR="00E009C9" w:rsidRDefault="00E009C9" w:rsidP="0033601E">
      <w:pPr>
        <w:pStyle w:val="RSCH2"/>
        <w:spacing w:before="240" w:after="120"/>
        <w:rPr>
          <w:lang w:eastAsia="en-GB"/>
        </w:rPr>
      </w:pPr>
      <w:r>
        <w:rPr>
          <w:lang w:eastAsia="en-GB"/>
        </w:rPr>
        <w:t>Resource components</w:t>
      </w:r>
    </w:p>
    <w:tbl>
      <w:tblPr>
        <w:tblStyle w:val="TableGrid"/>
        <w:tblW w:w="9067" w:type="dxa"/>
        <w:tblLayout w:type="fixed"/>
        <w:tblLook w:val="04A0" w:firstRow="1" w:lastRow="0" w:firstColumn="1" w:lastColumn="0" w:noHBand="0" w:noVBand="1"/>
      </w:tblPr>
      <w:tblGrid>
        <w:gridCol w:w="4533"/>
        <w:gridCol w:w="4534"/>
      </w:tblGrid>
      <w:tr w:rsidR="00D9689A" w14:paraId="4D219C19" w14:textId="77777777" w:rsidTr="00882624">
        <w:tc>
          <w:tcPr>
            <w:tcW w:w="4533" w:type="dxa"/>
            <w:vAlign w:val="center"/>
          </w:tcPr>
          <w:p w14:paraId="14E81702" w14:textId="4B17220E" w:rsidR="00D9689A" w:rsidRDefault="00F71435" w:rsidP="00882624">
            <w:pPr>
              <w:pStyle w:val="RSCBasictext"/>
              <w:spacing w:after="0"/>
              <w:ind w:left="0" w:firstLine="0"/>
              <w:jc w:val="center"/>
              <w:rPr>
                <w:lang w:eastAsia="en-GB"/>
              </w:rPr>
            </w:pPr>
            <w:r>
              <w:rPr>
                <w:noProof/>
              </w:rPr>
              <w:drawing>
                <wp:inline distT="0" distB="0" distL="0" distR="0" wp14:anchorId="5182541E" wp14:editId="0877B7F5">
                  <wp:extent cx="2320165" cy="1304925"/>
                  <wp:effectExtent l="38100" t="38100" r="99695" b="85725"/>
                  <wp:docPr id="487712830" name="Picture 1" descr="A screenshot of a slide from the MS Powerpoint presentation, also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12830" name="Picture 1" descr="A screenshot of a slide from the MS Powerpoint presentation, also available"/>
                          <pic:cNvPicPr/>
                        </pic:nvPicPr>
                        <pic:blipFill>
                          <a:blip r:embed="rId11"/>
                          <a:stretch>
                            <a:fillRect/>
                          </a:stretch>
                        </pic:blipFill>
                        <pic:spPr>
                          <a:xfrm>
                            <a:off x="0" y="0"/>
                            <a:ext cx="2338780" cy="1315395"/>
                          </a:xfrm>
                          <a:prstGeom prst="rect">
                            <a:avLst/>
                          </a:prstGeom>
                          <a:effectLst>
                            <a:outerShdw blurRad="50800" dist="38100" dir="2700000" algn="tl" rotWithShape="0">
                              <a:prstClr val="black">
                                <a:alpha val="40000"/>
                              </a:prstClr>
                            </a:outerShdw>
                          </a:effectLst>
                        </pic:spPr>
                      </pic:pic>
                    </a:graphicData>
                  </a:graphic>
                </wp:inline>
              </w:drawing>
            </w:r>
          </w:p>
        </w:tc>
        <w:tc>
          <w:tcPr>
            <w:tcW w:w="4534" w:type="dxa"/>
            <w:vAlign w:val="center"/>
          </w:tcPr>
          <w:p w14:paraId="26C776B4" w14:textId="520FF6AB" w:rsidR="00D9689A" w:rsidRDefault="00882624" w:rsidP="00882624">
            <w:pPr>
              <w:pStyle w:val="RSCBasictext"/>
              <w:spacing w:after="0"/>
              <w:ind w:left="0" w:firstLine="9"/>
              <w:jc w:val="center"/>
              <w:rPr>
                <w:lang w:eastAsia="en-GB"/>
              </w:rPr>
            </w:pPr>
            <w:r>
              <w:rPr>
                <w:noProof/>
              </w:rPr>
              <w:drawing>
                <wp:inline distT="0" distB="0" distL="0" distR="0" wp14:anchorId="4976D21E" wp14:editId="4ECE0790">
                  <wp:extent cx="2171700" cy="1533468"/>
                  <wp:effectExtent l="38100" t="38100" r="95250" b="86360"/>
                  <wp:docPr id="1440727741" name="Picture 1" descr="A screenshot of the student worksheet which includes a table to evaluate and rewrite the four opin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27741" name="Picture 1" descr="A screenshot of the student worksheet which includes a table to evaluate and rewrite the four opinions."/>
                          <pic:cNvPicPr/>
                        </pic:nvPicPr>
                        <pic:blipFill>
                          <a:blip r:embed="rId12"/>
                          <a:stretch>
                            <a:fillRect/>
                          </a:stretch>
                        </pic:blipFill>
                        <pic:spPr>
                          <a:xfrm>
                            <a:off x="0" y="0"/>
                            <a:ext cx="2202273" cy="1555056"/>
                          </a:xfrm>
                          <a:prstGeom prst="rect">
                            <a:avLst/>
                          </a:prstGeom>
                          <a:effectLst>
                            <a:outerShdw blurRad="50800" dist="38100" dir="2700000" algn="tl" rotWithShape="0">
                              <a:prstClr val="black">
                                <a:alpha val="40000"/>
                              </a:prstClr>
                            </a:outerShdw>
                          </a:effectLst>
                        </pic:spPr>
                      </pic:pic>
                    </a:graphicData>
                  </a:graphic>
                </wp:inline>
              </w:drawing>
            </w:r>
          </w:p>
        </w:tc>
      </w:tr>
      <w:tr w:rsidR="00D9689A" w14:paraId="5FDC7092" w14:textId="77777777" w:rsidTr="004A470A">
        <w:tc>
          <w:tcPr>
            <w:tcW w:w="4533" w:type="dxa"/>
          </w:tcPr>
          <w:p w14:paraId="1D6E5A94" w14:textId="3C77D20A" w:rsidR="00D9689A" w:rsidRPr="00E009C9" w:rsidRDefault="00D9689A" w:rsidP="004A470A">
            <w:pPr>
              <w:pStyle w:val="RSCBasictext"/>
              <w:ind w:left="0" w:firstLine="0"/>
            </w:pPr>
            <w:r w:rsidRPr="00E009C9">
              <w:rPr>
                <w:b/>
                <w:bCs/>
                <w:color w:val="C8102E"/>
              </w:rPr>
              <w:t>Presentation:</w:t>
            </w:r>
            <w:r w:rsidRPr="00E009C9">
              <w:rPr>
                <w:color w:val="C8102E"/>
              </w:rPr>
              <w:t xml:space="preserve"> </w:t>
            </w:r>
            <w:r w:rsidR="0069045B">
              <w:t>introduce</w:t>
            </w:r>
            <w:r w:rsidR="00972E9D">
              <w:t>s</w:t>
            </w:r>
            <w:r w:rsidR="0069045B">
              <w:t xml:space="preserve"> the problem, </w:t>
            </w:r>
            <w:r w:rsidR="00972E9D">
              <w:t xml:space="preserve">the four opinions </w:t>
            </w:r>
            <w:r w:rsidR="007162D4">
              <w:t xml:space="preserve">for groups to discuss </w:t>
            </w:r>
            <w:r w:rsidR="00972E9D">
              <w:t>and share</w:t>
            </w:r>
            <w:r w:rsidR="007162D4">
              <w:t>s the</w:t>
            </w:r>
            <w:r w:rsidR="00972E9D">
              <w:t xml:space="preserve"> answers.</w:t>
            </w:r>
          </w:p>
        </w:tc>
        <w:tc>
          <w:tcPr>
            <w:tcW w:w="4534" w:type="dxa"/>
          </w:tcPr>
          <w:p w14:paraId="2D959E08" w14:textId="43D7B48E" w:rsidR="00D9689A" w:rsidRDefault="00D9689A" w:rsidP="004A470A">
            <w:pPr>
              <w:pStyle w:val="RSCBasictext"/>
              <w:ind w:left="0" w:hanging="1"/>
              <w:rPr>
                <w:lang w:eastAsia="en-GB"/>
              </w:rPr>
            </w:pPr>
            <w:r>
              <w:rPr>
                <w:b/>
                <w:bCs/>
                <w:color w:val="C8102E"/>
              </w:rPr>
              <w:t>Student worksheet</w:t>
            </w:r>
            <w:r w:rsidRPr="00E009C9">
              <w:rPr>
                <w:b/>
                <w:bCs/>
                <w:color w:val="C8102E"/>
              </w:rPr>
              <w:t>:</w:t>
            </w:r>
            <w:r w:rsidRPr="00E009C9">
              <w:rPr>
                <w:color w:val="C8102E"/>
              </w:rPr>
              <w:t xml:space="preserve"> </w:t>
            </w:r>
            <w:r w:rsidR="002C7185">
              <w:t>the student worksheet introduces</w:t>
            </w:r>
            <w:r w:rsidR="00D93D10">
              <w:t xml:space="preserve"> the</w:t>
            </w:r>
            <w:r w:rsidR="002C7185">
              <w:t xml:space="preserve"> four competing ideas and gives space to discuss </w:t>
            </w:r>
            <w:r w:rsidR="00D93D10">
              <w:t>and rewrite the statements.</w:t>
            </w:r>
          </w:p>
        </w:tc>
      </w:tr>
    </w:tbl>
    <w:p w14:paraId="43820EA7" w14:textId="447C56D1" w:rsidR="00637488" w:rsidRDefault="000E3C88" w:rsidP="0033601E">
      <w:pPr>
        <w:pStyle w:val="RSCH2"/>
        <w:spacing w:before="240" w:after="120"/>
        <w:rPr>
          <w:lang w:eastAsia="en-GB"/>
        </w:rPr>
      </w:pPr>
      <w:r>
        <w:rPr>
          <w:lang w:eastAsia="en-GB"/>
        </w:rPr>
        <w:t>Introduction</w:t>
      </w:r>
    </w:p>
    <w:p w14:paraId="370538FF" w14:textId="290F27CD" w:rsidR="001F3365" w:rsidRDefault="001F3365" w:rsidP="001F3365">
      <w:pPr>
        <w:pStyle w:val="RSCBasictext"/>
        <w:rPr>
          <w:lang w:eastAsia="en-GB"/>
        </w:rPr>
      </w:pPr>
      <w:r>
        <w:rPr>
          <w:lang w:eastAsia="en-GB"/>
        </w:rPr>
        <w:t xml:space="preserve">This activity helps learners to think through the importance of the </w:t>
      </w:r>
      <w:r w:rsidR="00024F29">
        <w:rPr>
          <w:lang w:eastAsia="en-GB"/>
        </w:rPr>
        <w:t>electrostatic</w:t>
      </w:r>
      <w:r>
        <w:rPr>
          <w:lang w:eastAsia="en-GB"/>
        </w:rPr>
        <w:t xml:space="preserve"> attraction between ions to the model of ionic bonding.</w:t>
      </w:r>
    </w:p>
    <w:p w14:paraId="6523D07F" w14:textId="1314BBC3" w:rsidR="00637488" w:rsidRDefault="000E3C88" w:rsidP="008874D2">
      <w:pPr>
        <w:pStyle w:val="RSCH2"/>
        <w:spacing w:before="240" w:after="120"/>
        <w:rPr>
          <w:lang w:eastAsia="en-GB"/>
        </w:rPr>
      </w:pPr>
      <w:r>
        <w:rPr>
          <w:lang w:eastAsia="en-GB"/>
        </w:rPr>
        <w:t>How to use this resource</w:t>
      </w:r>
    </w:p>
    <w:tbl>
      <w:tblPr>
        <w:tblStyle w:val="TableGrid"/>
        <w:tblW w:w="9037" w:type="dxa"/>
        <w:tblLook w:val="04A0" w:firstRow="1" w:lastRow="0" w:firstColumn="1" w:lastColumn="0" w:noHBand="0" w:noVBand="1"/>
      </w:tblPr>
      <w:tblGrid>
        <w:gridCol w:w="1807"/>
        <w:gridCol w:w="1807"/>
        <w:gridCol w:w="1808"/>
        <w:gridCol w:w="1807"/>
        <w:gridCol w:w="1808"/>
      </w:tblGrid>
      <w:tr w:rsidR="000E3C88" w14:paraId="6849446A" w14:textId="77777777" w:rsidTr="009D56A3">
        <w:trPr>
          <w:trHeight w:val="1176"/>
        </w:trPr>
        <w:tc>
          <w:tcPr>
            <w:tcW w:w="1807" w:type="dxa"/>
            <w:vMerge w:val="restart"/>
            <w:shd w:val="clear" w:color="auto" w:fill="F6E0C0"/>
          </w:tcPr>
          <w:p w14:paraId="4F6D7E30" w14:textId="77777777" w:rsidR="000E3C88" w:rsidRDefault="000E3C88" w:rsidP="009D56A3">
            <w:pPr>
              <w:pStyle w:val="RSCBasictext"/>
              <w:spacing w:before="120"/>
              <w:ind w:left="0" w:firstLine="0"/>
              <w:rPr>
                <w:lang w:eastAsia="en-GB"/>
              </w:rPr>
            </w:pPr>
            <w:r w:rsidRPr="00675802">
              <w:rPr>
                <w:b/>
                <w:bCs/>
                <w:color w:val="C8102E"/>
                <w:lang w:eastAsia="en-GB"/>
              </w:rPr>
              <w:t>When to use?</w:t>
            </w:r>
          </w:p>
        </w:tc>
        <w:tc>
          <w:tcPr>
            <w:tcW w:w="1807" w:type="dxa"/>
            <w:vAlign w:val="center"/>
          </w:tcPr>
          <w:p w14:paraId="368EC6A3" w14:textId="77777777" w:rsidR="000E3C88" w:rsidRDefault="000E3C88" w:rsidP="0073576F">
            <w:pPr>
              <w:pStyle w:val="RSCBasictext"/>
              <w:ind w:left="0" w:firstLine="0"/>
              <w:jc w:val="center"/>
              <w:rPr>
                <w:lang w:eastAsia="en-GB"/>
              </w:rPr>
            </w:pPr>
            <w:r>
              <w:rPr>
                <w:noProof/>
                <w:lang w:eastAsia="en-GB"/>
              </w:rPr>
              <w:drawing>
                <wp:inline distT="0" distB="0" distL="0" distR="0" wp14:anchorId="7D3C43F9" wp14:editId="60941BFF">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7" w:type="dxa"/>
            <w:vAlign w:val="center"/>
          </w:tcPr>
          <w:p w14:paraId="1E6734D5" w14:textId="77777777" w:rsidR="000E3C88" w:rsidRDefault="000E3C88" w:rsidP="0073576F">
            <w:pPr>
              <w:pStyle w:val="RSCBasictext"/>
              <w:ind w:left="0" w:firstLine="0"/>
              <w:jc w:val="center"/>
              <w:rPr>
                <w:lang w:eastAsia="en-GB"/>
              </w:rPr>
            </w:pPr>
            <w:r>
              <w:rPr>
                <w:noProof/>
                <w:lang w:eastAsia="en-GB"/>
              </w:rPr>
              <w:drawing>
                <wp:inline distT="0" distB="0" distL="0" distR="0" wp14:anchorId="426857E7" wp14:editId="380103FF">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7" w:type="dxa"/>
            <w:vAlign w:val="center"/>
          </w:tcPr>
          <w:p w14:paraId="78628C25" w14:textId="77777777" w:rsidR="000E3C88" w:rsidRDefault="000E3C88" w:rsidP="0073576F">
            <w:pPr>
              <w:pStyle w:val="RSCBasictext"/>
              <w:ind w:left="9" w:firstLine="0"/>
              <w:jc w:val="center"/>
              <w:rPr>
                <w:lang w:eastAsia="en-GB"/>
              </w:rPr>
            </w:pPr>
            <w:r>
              <w:rPr>
                <w:noProof/>
                <w:lang w:eastAsia="en-GB"/>
              </w:rPr>
              <w:drawing>
                <wp:inline distT="0" distB="0" distL="0" distR="0" wp14:anchorId="1A0327A1" wp14:editId="2D02F462">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D7050D">
              <w:rPr>
                <w:b/>
                <w:bCs/>
                <w:color w:val="AEAAAA" w:themeColor="background2" w:themeShade="BF"/>
                <w:sz w:val="18"/>
                <w:szCs w:val="18"/>
                <w:lang w:eastAsia="en-GB"/>
              </w:rPr>
              <w:t>Revise</w:t>
            </w:r>
          </w:p>
        </w:tc>
        <w:tc>
          <w:tcPr>
            <w:tcW w:w="1807" w:type="dxa"/>
            <w:vAlign w:val="center"/>
          </w:tcPr>
          <w:p w14:paraId="77A74D31" w14:textId="77777777" w:rsidR="000E3C88" w:rsidRDefault="000E3C88" w:rsidP="0073576F">
            <w:pPr>
              <w:pStyle w:val="RSCBasictext"/>
              <w:ind w:left="9" w:firstLine="0"/>
              <w:jc w:val="center"/>
              <w:rPr>
                <w:lang w:eastAsia="en-GB"/>
              </w:rPr>
            </w:pPr>
            <w:r>
              <w:rPr>
                <w:noProof/>
                <w:lang w:eastAsia="en-GB"/>
              </w:rPr>
              <w:drawing>
                <wp:inline distT="0" distB="0" distL="0" distR="0" wp14:anchorId="49067172" wp14:editId="173AF164">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0E3C88" w14:paraId="3AE96072" w14:textId="77777777" w:rsidTr="009D56A3">
        <w:trPr>
          <w:trHeight w:val="980"/>
        </w:trPr>
        <w:tc>
          <w:tcPr>
            <w:tcW w:w="1807" w:type="dxa"/>
            <w:vMerge/>
            <w:shd w:val="clear" w:color="auto" w:fill="F6E0C0"/>
          </w:tcPr>
          <w:p w14:paraId="5DD27AD6" w14:textId="77777777" w:rsidR="000E3C88" w:rsidRPr="00675802" w:rsidRDefault="000E3C88" w:rsidP="0073576F">
            <w:pPr>
              <w:pStyle w:val="RSCBasictext"/>
              <w:rPr>
                <w:b/>
                <w:bCs/>
                <w:color w:val="C8102E"/>
                <w:lang w:eastAsia="en-GB"/>
              </w:rPr>
            </w:pPr>
          </w:p>
        </w:tc>
        <w:tc>
          <w:tcPr>
            <w:tcW w:w="7230" w:type="dxa"/>
            <w:gridSpan w:val="4"/>
            <w:vAlign w:val="center"/>
          </w:tcPr>
          <w:p w14:paraId="6EBF45E5" w14:textId="0CFD19B0" w:rsidR="000E3C88" w:rsidRPr="009B2FCD" w:rsidRDefault="00894A7A" w:rsidP="009D56A3">
            <w:pPr>
              <w:pStyle w:val="RSC2-columntabs"/>
              <w:spacing w:after="0"/>
              <w:ind w:left="0" w:firstLine="0"/>
              <w:rPr>
                <w:noProof/>
                <w:lang w:eastAsia="en-GB"/>
              </w:rPr>
            </w:pPr>
            <w:r w:rsidRPr="008874D2">
              <w:rPr>
                <w:lang w:eastAsia="en-GB"/>
              </w:rPr>
              <w:t>U</w:t>
            </w:r>
            <w:r w:rsidR="001F3365" w:rsidRPr="008874D2">
              <w:rPr>
                <w:lang w:eastAsia="en-GB"/>
              </w:rPr>
              <w:t>se as an extension activity after a lesson on ionic bonding. Learners should already have prior knowledge of atomic structure, ionic bonding and the formation of ions.</w:t>
            </w:r>
          </w:p>
        </w:tc>
      </w:tr>
      <w:tr w:rsidR="000E3C88" w14:paraId="6F537312" w14:textId="77777777" w:rsidTr="009D56A3">
        <w:trPr>
          <w:trHeight w:val="1136"/>
        </w:trPr>
        <w:tc>
          <w:tcPr>
            <w:tcW w:w="1807" w:type="dxa"/>
            <w:vMerge w:val="restart"/>
            <w:shd w:val="clear" w:color="auto" w:fill="F6E0C0"/>
          </w:tcPr>
          <w:p w14:paraId="2625D1CD" w14:textId="77777777" w:rsidR="000E3C88" w:rsidRDefault="000E3C88" w:rsidP="009D56A3">
            <w:pPr>
              <w:pStyle w:val="RSCBasictext"/>
              <w:spacing w:before="120"/>
              <w:ind w:left="0" w:firstLine="0"/>
              <w:rPr>
                <w:lang w:eastAsia="en-GB"/>
              </w:rPr>
            </w:pPr>
            <w:r>
              <w:rPr>
                <w:b/>
                <w:bCs/>
                <w:color w:val="C8102E"/>
                <w:lang w:eastAsia="en-GB"/>
              </w:rPr>
              <w:t>Group size?</w:t>
            </w:r>
          </w:p>
        </w:tc>
        <w:tc>
          <w:tcPr>
            <w:tcW w:w="1807" w:type="dxa"/>
          </w:tcPr>
          <w:p w14:paraId="13EE7DE4" w14:textId="77777777" w:rsidR="000E3C88" w:rsidRDefault="000E3C88" w:rsidP="0073576F">
            <w:pPr>
              <w:pStyle w:val="RSCBasictext"/>
              <w:ind w:left="0" w:firstLine="0"/>
              <w:jc w:val="center"/>
              <w:rPr>
                <w:lang w:eastAsia="en-GB"/>
              </w:rPr>
            </w:pPr>
            <w:r>
              <w:rPr>
                <w:noProof/>
                <w:lang w:eastAsia="en-GB"/>
              </w:rPr>
              <w:drawing>
                <wp:inline distT="0" distB="0" distL="0" distR="0" wp14:anchorId="4B4B4E09" wp14:editId="18D67D29">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D7050D">
              <w:rPr>
                <w:b/>
                <w:bCs/>
                <w:color w:val="AEAAAA" w:themeColor="background2" w:themeShade="BF"/>
                <w:sz w:val="18"/>
                <w:szCs w:val="18"/>
                <w:lang w:eastAsia="en-GB"/>
              </w:rPr>
              <w:t>Independent</w:t>
            </w:r>
          </w:p>
        </w:tc>
        <w:tc>
          <w:tcPr>
            <w:tcW w:w="1807" w:type="dxa"/>
          </w:tcPr>
          <w:p w14:paraId="3F605431" w14:textId="77777777" w:rsidR="000E3C88" w:rsidRDefault="000E3C88" w:rsidP="0073576F">
            <w:pPr>
              <w:pStyle w:val="RSCBasictext"/>
              <w:ind w:left="0" w:firstLine="0"/>
              <w:jc w:val="center"/>
              <w:rPr>
                <w:lang w:eastAsia="en-GB"/>
              </w:rPr>
            </w:pPr>
            <w:r>
              <w:rPr>
                <w:noProof/>
                <w:lang w:eastAsia="en-GB"/>
              </w:rPr>
              <w:drawing>
                <wp:inline distT="0" distB="0" distL="0" distR="0" wp14:anchorId="76C08377" wp14:editId="52806A42">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7" w:type="dxa"/>
          </w:tcPr>
          <w:p w14:paraId="6D8AB6C3" w14:textId="77777777" w:rsidR="000E3C88" w:rsidRDefault="000E3C88" w:rsidP="0073576F">
            <w:pPr>
              <w:pStyle w:val="RSCBasictext"/>
              <w:ind w:left="0" w:firstLine="0"/>
              <w:jc w:val="center"/>
              <w:rPr>
                <w:lang w:eastAsia="en-GB"/>
              </w:rPr>
            </w:pPr>
            <w:r>
              <w:rPr>
                <w:noProof/>
                <w:lang w:eastAsia="en-GB"/>
              </w:rPr>
              <w:drawing>
                <wp:inline distT="0" distB="0" distL="0" distR="0" wp14:anchorId="237953E6" wp14:editId="750B40A4">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D7050D">
              <w:rPr>
                <w:b/>
                <w:bCs/>
                <w:color w:val="AEAAAA" w:themeColor="background2" w:themeShade="BF"/>
                <w:sz w:val="18"/>
                <w:szCs w:val="18"/>
                <w:lang w:eastAsia="en-GB"/>
              </w:rPr>
              <w:t>Whole class</w:t>
            </w:r>
          </w:p>
        </w:tc>
        <w:tc>
          <w:tcPr>
            <w:tcW w:w="1807" w:type="dxa"/>
          </w:tcPr>
          <w:p w14:paraId="7D92444F" w14:textId="77777777" w:rsidR="000E3C88" w:rsidRDefault="000E3C88" w:rsidP="0073576F">
            <w:pPr>
              <w:pStyle w:val="RSCBasictext"/>
              <w:ind w:left="0" w:firstLine="0"/>
              <w:jc w:val="center"/>
              <w:rPr>
                <w:lang w:eastAsia="en-GB"/>
              </w:rPr>
            </w:pPr>
            <w:r>
              <w:rPr>
                <w:noProof/>
                <w:lang w:eastAsia="en-GB"/>
              </w:rPr>
              <w:drawing>
                <wp:inline distT="0" distB="0" distL="0" distR="0" wp14:anchorId="57CACFAB" wp14:editId="656618E9">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D7050D">
              <w:rPr>
                <w:b/>
                <w:bCs/>
                <w:color w:val="AEAAAA" w:themeColor="background2" w:themeShade="BF"/>
                <w:sz w:val="18"/>
                <w:szCs w:val="18"/>
                <w:lang w:eastAsia="en-GB"/>
              </w:rPr>
              <w:t>Homework</w:t>
            </w:r>
          </w:p>
        </w:tc>
      </w:tr>
      <w:tr w:rsidR="000E3C88" w14:paraId="6D361377" w14:textId="77777777" w:rsidTr="009D56A3">
        <w:trPr>
          <w:trHeight w:val="373"/>
        </w:trPr>
        <w:tc>
          <w:tcPr>
            <w:tcW w:w="1807" w:type="dxa"/>
            <w:vMerge/>
            <w:shd w:val="clear" w:color="auto" w:fill="F6E0C0"/>
          </w:tcPr>
          <w:p w14:paraId="6F727ACA" w14:textId="77777777" w:rsidR="000E3C88" w:rsidRDefault="000E3C88" w:rsidP="009D56A3">
            <w:pPr>
              <w:pStyle w:val="RSCBasictext"/>
              <w:spacing w:after="0"/>
              <w:rPr>
                <w:b/>
                <w:bCs/>
                <w:color w:val="C8102E"/>
                <w:lang w:eastAsia="en-GB"/>
              </w:rPr>
            </w:pPr>
          </w:p>
        </w:tc>
        <w:tc>
          <w:tcPr>
            <w:tcW w:w="7230" w:type="dxa"/>
            <w:gridSpan w:val="4"/>
            <w:vAlign w:val="center"/>
          </w:tcPr>
          <w:p w14:paraId="15DD7DF6" w14:textId="21F487FC" w:rsidR="000E3C88" w:rsidRDefault="00894A7A" w:rsidP="009D56A3">
            <w:pPr>
              <w:pStyle w:val="RSC2-columntabs"/>
              <w:tabs>
                <w:tab w:val="clear" w:pos="363"/>
              </w:tabs>
              <w:spacing w:after="0"/>
              <w:ind w:left="0" w:firstLine="0"/>
              <w:rPr>
                <w:noProof/>
                <w:lang w:eastAsia="en-GB"/>
              </w:rPr>
            </w:pPr>
            <w:r>
              <w:rPr>
                <w:noProof/>
                <w:lang w:eastAsia="en-GB"/>
              </w:rPr>
              <w:t>Ask l</w:t>
            </w:r>
            <w:r w:rsidR="001F3365">
              <w:rPr>
                <w:noProof/>
                <w:lang w:eastAsia="en-GB"/>
              </w:rPr>
              <w:t xml:space="preserve">earners </w:t>
            </w:r>
            <w:r>
              <w:rPr>
                <w:noProof/>
                <w:lang w:eastAsia="en-GB"/>
              </w:rPr>
              <w:t xml:space="preserve">to </w:t>
            </w:r>
            <w:r w:rsidR="001F3365">
              <w:rPr>
                <w:noProof/>
                <w:lang w:eastAsia="en-GB"/>
              </w:rPr>
              <w:t>work in groups of two or three.</w:t>
            </w:r>
          </w:p>
        </w:tc>
      </w:tr>
      <w:tr w:rsidR="008A28EA" w14:paraId="3F113720" w14:textId="77777777" w:rsidTr="00A4566F">
        <w:trPr>
          <w:trHeight w:val="407"/>
        </w:trPr>
        <w:tc>
          <w:tcPr>
            <w:tcW w:w="1807" w:type="dxa"/>
            <w:shd w:val="clear" w:color="auto" w:fill="F6E0C0"/>
          </w:tcPr>
          <w:p w14:paraId="66666345" w14:textId="2C29C26D" w:rsidR="008A28EA" w:rsidRDefault="008A28EA" w:rsidP="00A4566F">
            <w:pPr>
              <w:pStyle w:val="RSCBasictext"/>
              <w:spacing w:before="120"/>
              <w:ind w:left="0" w:firstLine="0"/>
              <w:rPr>
                <w:b/>
                <w:bCs/>
                <w:color w:val="C8102E"/>
                <w:lang w:eastAsia="en-GB"/>
              </w:rPr>
            </w:pPr>
            <w:r>
              <w:rPr>
                <w:b/>
                <w:bCs/>
                <w:color w:val="C8102E"/>
                <w:lang w:eastAsia="en-GB"/>
              </w:rPr>
              <w:t>Topics</w:t>
            </w:r>
            <w:r w:rsidR="009D56A3">
              <w:rPr>
                <w:b/>
                <w:bCs/>
                <w:color w:val="C8102E"/>
                <w:lang w:eastAsia="en-GB"/>
              </w:rPr>
              <w:t>?</w:t>
            </w:r>
          </w:p>
        </w:tc>
        <w:tc>
          <w:tcPr>
            <w:tcW w:w="7230" w:type="dxa"/>
            <w:gridSpan w:val="4"/>
            <w:vAlign w:val="center"/>
          </w:tcPr>
          <w:p w14:paraId="00FB2D9B" w14:textId="6BB5F6F5" w:rsidR="008A28EA" w:rsidRDefault="009D56A3" w:rsidP="00A4566F">
            <w:pPr>
              <w:pStyle w:val="RSC2-columntabs"/>
              <w:tabs>
                <w:tab w:val="clear" w:pos="363"/>
              </w:tabs>
              <w:spacing w:after="0"/>
              <w:ind w:left="0" w:firstLine="0"/>
              <w:rPr>
                <w:noProof/>
                <w:lang w:eastAsia="en-GB"/>
              </w:rPr>
            </w:pPr>
            <w:r>
              <w:rPr>
                <w:noProof/>
                <w:lang w:eastAsia="en-GB"/>
              </w:rPr>
              <w:t>Ionic bonding, electrostatic attraction, and energetic stability.</w:t>
            </w:r>
          </w:p>
        </w:tc>
      </w:tr>
      <w:tr w:rsidR="000E3C88" w14:paraId="42CAE83D" w14:textId="77777777" w:rsidTr="009D56A3">
        <w:trPr>
          <w:trHeight w:val="905"/>
        </w:trPr>
        <w:tc>
          <w:tcPr>
            <w:tcW w:w="1807" w:type="dxa"/>
            <w:shd w:val="clear" w:color="auto" w:fill="F6E0C0"/>
          </w:tcPr>
          <w:p w14:paraId="4E95B8E9" w14:textId="77777777" w:rsidR="000E3C88" w:rsidRDefault="000E3C88" w:rsidP="00A4566F">
            <w:pPr>
              <w:pStyle w:val="RSCBasictext"/>
              <w:spacing w:before="120" w:after="0"/>
              <w:ind w:left="0" w:firstLine="0"/>
              <w:rPr>
                <w:lang w:eastAsia="en-GB"/>
              </w:rPr>
            </w:pPr>
            <w:r w:rsidRPr="00675802">
              <w:rPr>
                <w:b/>
                <w:bCs/>
                <w:color w:val="C8102E"/>
                <w:lang w:eastAsia="en-GB"/>
              </w:rPr>
              <w:t>How long?</w:t>
            </w:r>
          </w:p>
        </w:tc>
        <w:tc>
          <w:tcPr>
            <w:tcW w:w="3615" w:type="dxa"/>
            <w:gridSpan w:val="2"/>
            <w:vAlign w:val="center"/>
          </w:tcPr>
          <w:p w14:paraId="60E3A613" w14:textId="7B95DA75" w:rsidR="000E3C88" w:rsidRDefault="00C53462" w:rsidP="006A1E55">
            <w:pPr>
              <w:pStyle w:val="RSCBasictext"/>
              <w:spacing w:after="0"/>
              <w:ind w:left="0" w:firstLine="0"/>
              <w:jc w:val="center"/>
              <w:rPr>
                <w:lang w:eastAsia="en-GB"/>
              </w:rPr>
            </w:pPr>
            <w:r>
              <w:rPr>
                <w:noProof/>
                <w:lang w:eastAsia="en-GB"/>
              </w:rPr>
              <w:drawing>
                <wp:inline distT="0" distB="0" distL="0" distR="0" wp14:anchorId="7B4C7B83" wp14:editId="3EEABE01">
                  <wp:extent cx="504000" cy="504000"/>
                  <wp:effectExtent l="0" t="0" r="0" b="0"/>
                  <wp:docPr id="1988177902" name="Graphic 1"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77902" name="Graphic 1988177902"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15" w:type="dxa"/>
            <w:gridSpan w:val="2"/>
            <w:vAlign w:val="center"/>
          </w:tcPr>
          <w:p w14:paraId="1867022B" w14:textId="18A814A1" w:rsidR="000E3C88" w:rsidRDefault="00024F29" w:rsidP="006A1E55">
            <w:pPr>
              <w:pStyle w:val="RSCBasictext"/>
              <w:spacing w:after="0"/>
              <w:ind w:left="0" w:firstLine="0"/>
              <w:jc w:val="center"/>
              <w:rPr>
                <w:lang w:eastAsia="en-GB"/>
              </w:rPr>
            </w:pPr>
            <w:r>
              <w:t>10</w:t>
            </w:r>
            <w:r w:rsidR="00894A7A">
              <w:t>–</w:t>
            </w:r>
            <w:r>
              <w:t>15 minutes</w:t>
            </w:r>
          </w:p>
        </w:tc>
      </w:tr>
    </w:tbl>
    <w:p w14:paraId="1EAF1D91" w14:textId="287E684B" w:rsidR="00362CC1" w:rsidRDefault="00A80AE9" w:rsidP="00362CC1">
      <w:pPr>
        <w:pStyle w:val="RSCH2"/>
        <w:rPr>
          <w:lang w:eastAsia="en-GB"/>
        </w:rPr>
      </w:pPr>
      <w:r>
        <w:rPr>
          <w:lang w:eastAsia="en-GB"/>
        </w:rPr>
        <w:lastRenderedPageBreak/>
        <w:t>Discussion of a</w:t>
      </w:r>
      <w:r w:rsidR="00362CC1">
        <w:rPr>
          <w:lang w:eastAsia="en-GB"/>
        </w:rPr>
        <w:t>nswers</w:t>
      </w:r>
    </w:p>
    <w:p w14:paraId="6A533114" w14:textId="3C840C52" w:rsidR="00024F29" w:rsidRDefault="00024F29" w:rsidP="00024F29">
      <w:pPr>
        <w:pStyle w:val="RSCBasictext"/>
        <w:rPr>
          <w:lang w:eastAsia="en-GB"/>
        </w:rPr>
      </w:pPr>
      <w:r w:rsidRPr="00110A76">
        <w:rPr>
          <w:b/>
          <w:bCs/>
          <w:color w:val="ED7D31"/>
          <w:lang w:eastAsia="en-GB"/>
        </w:rPr>
        <w:t>Person A</w:t>
      </w:r>
      <w:r w:rsidRPr="00110A76">
        <w:rPr>
          <w:color w:val="ED7D31"/>
          <w:lang w:eastAsia="en-GB"/>
        </w:rPr>
        <w:t xml:space="preserve"> </w:t>
      </w:r>
      <w:r>
        <w:rPr>
          <w:lang w:eastAsia="en-GB"/>
        </w:rPr>
        <w:t>is making a sensible point. The information given suggests that the process of electron transfer on its own is strongly endothermic. Since burning magnesium is exothermic, it must involve more than electron transfer.</w:t>
      </w:r>
    </w:p>
    <w:p w14:paraId="219DA533" w14:textId="4BABA601" w:rsidR="00024F29" w:rsidRDefault="00024F29" w:rsidP="00024F29">
      <w:pPr>
        <w:pStyle w:val="RSCBasictext"/>
        <w:rPr>
          <w:lang w:eastAsia="en-GB"/>
        </w:rPr>
      </w:pPr>
      <w:r w:rsidRPr="00110A76">
        <w:rPr>
          <w:b/>
          <w:bCs/>
          <w:color w:val="C8102E"/>
          <w:lang w:eastAsia="en-GB"/>
        </w:rPr>
        <w:t>Person B</w:t>
      </w:r>
      <w:r w:rsidRPr="00110A76">
        <w:rPr>
          <w:color w:val="C8102E"/>
          <w:lang w:eastAsia="en-GB"/>
        </w:rPr>
        <w:t xml:space="preserve"> </w:t>
      </w:r>
      <w:r>
        <w:rPr>
          <w:lang w:eastAsia="en-GB"/>
        </w:rPr>
        <w:t>has abandoned the ionic model too readily. There is good evidence for the existence of ions – e</w:t>
      </w:r>
      <w:r w:rsidR="003859E1">
        <w:rPr>
          <w:lang w:eastAsia="en-GB"/>
        </w:rPr>
        <w:t>.</w:t>
      </w:r>
      <w:r>
        <w:rPr>
          <w:lang w:eastAsia="en-GB"/>
        </w:rPr>
        <w:t xml:space="preserve">g. </w:t>
      </w:r>
      <w:r w:rsidR="003859E1">
        <w:rPr>
          <w:lang w:eastAsia="en-GB"/>
        </w:rPr>
        <w:t>t</w:t>
      </w:r>
      <w:r>
        <w:rPr>
          <w:lang w:eastAsia="en-GB"/>
        </w:rPr>
        <w:t>he conductivity of solutions and molten salts. Since magnesium is a metal and oxygen a non-metal, the bonding is ionic.</w:t>
      </w:r>
    </w:p>
    <w:p w14:paraId="25631655" w14:textId="2E389D16" w:rsidR="00024F29" w:rsidRDefault="00024F29" w:rsidP="00024F29">
      <w:pPr>
        <w:pStyle w:val="RSCBasictext"/>
        <w:rPr>
          <w:lang w:eastAsia="en-GB"/>
        </w:rPr>
      </w:pPr>
      <w:r w:rsidRPr="00110A76">
        <w:rPr>
          <w:b/>
          <w:bCs/>
          <w:color w:val="ED7D31"/>
          <w:lang w:eastAsia="en-GB"/>
        </w:rPr>
        <w:t>Person D</w:t>
      </w:r>
      <w:r w:rsidRPr="00110A76">
        <w:rPr>
          <w:color w:val="ED7D31"/>
          <w:lang w:eastAsia="en-GB"/>
        </w:rPr>
        <w:t xml:space="preserve"> </w:t>
      </w:r>
      <w:r>
        <w:rPr>
          <w:lang w:eastAsia="en-GB"/>
        </w:rPr>
        <w:t>is correct that the data are about isolated atoms</w:t>
      </w:r>
      <w:r w:rsidR="00AA3064">
        <w:rPr>
          <w:lang w:eastAsia="en-GB"/>
        </w:rPr>
        <w:t>,</w:t>
      </w:r>
      <w:r>
        <w:rPr>
          <w:lang w:eastAsia="en-GB"/>
        </w:rPr>
        <w:t xml:space="preserve"> but the real reaction is between solid magnesium and oxygen molecules. However, this observation only gets us so far. You can form the isolated atoms of magnesium and oxygen from the solid and gas by investing the energy to break all the bonds. Breaking the bonds will be endothermic, so we have not explained why the process of burning is exothermic and indeed what drives the magnesium to react with the oxygen.</w:t>
      </w:r>
    </w:p>
    <w:p w14:paraId="584C1067" w14:textId="77777777" w:rsidR="0056258C" w:rsidRDefault="0056258C" w:rsidP="0056258C">
      <w:pPr>
        <w:pStyle w:val="RSCBasictext"/>
        <w:rPr>
          <w:lang w:eastAsia="en-GB"/>
        </w:rPr>
      </w:pPr>
      <w:r w:rsidRPr="00110A76">
        <w:rPr>
          <w:b/>
          <w:bCs/>
          <w:color w:val="F9B146"/>
          <w:lang w:eastAsia="en-GB"/>
        </w:rPr>
        <w:t>Person C</w:t>
      </w:r>
      <w:r w:rsidRPr="00110A76">
        <w:rPr>
          <w:color w:val="F9B146"/>
          <w:lang w:eastAsia="en-GB"/>
        </w:rPr>
        <w:t xml:space="preserve"> </w:t>
      </w:r>
      <w:r>
        <w:rPr>
          <w:lang w:eastAsia="en-GB"/>
        </w:rPr>
        <w:t>has made a crucial point. The exothermic part of the whole process comes from the coming together of oppositely charged ions into a giant lattice. Opposite charges have potential energy when they are held apart which is converted to heat when they move closer. The mutual attraction of oppositely charged ions is the driving force behind ionic bonding.</w:t>
      </w:r>
    </w:p>
    <w:p w14:paraId="6921FF4D" w14:textId="72BBC3E1" w:rsidR="0056258C" w:rsidRDefault="00175175" w:rsidP="00024F29">
      <w:pPr>
        <w:pStyle w:val="RSCBasictext"/>
        <w:rPr>
          <w:lang w:eastAsia="en-GB"/>
        </w:rPr>
      </w:pPr>
      <w:r w:rsidRPr="00653285">
        <w:rPr>
          <w:color w:val="C8102E"/>
          <w:lang w:eastAsia="en-GB"/>
        </w:rPr>
        <mc:AlternateContent>
          <mc:Choice Requires="wps">
            <w:drawing>
              <wp:anchor distT="0" distB="0" distL="114300" distR="114300" simplePos="0" relativeHeight="251659264" behindDoc="0" locked="0" layoutInCell="1" allowOverlap="1" wp14:anchorId="7DA9C0BD" wp14:editId="1C2D8481">
                <wp:simplePos x="0" y="0"/>
                <wp:positionH relativeFrom="rightMargin">
                  <wp:align>left</wp:align>
                </wp:positionH>
                <wp:positionV relativeFrom="paragraph">
                  <wp:posOffset>3058477</wp:posOffset>
                </wp:positionV>
                <wp:extent cx="1845377" cy="246221"/>
                <wp:effectExtent l="0" t="0" r="0" b="0"/>
                <wp:wrapNone/>
                <wp:docPr id="10" name="TextBox 9">
                  <a:extLst xmlns:a="http://schemas.openxmlformats.org/drawingml/2006/main">
                    <a:ext uri="{FF2B5EF4-FFF2-40B4-BE49-F238E27FC236}">
                      <a16:creationId xmlns:a16="http://schemas.microsoft.com/office/drawing/2014/main" id="{C1B228F4-D914-C73F-4FCA-95C7D2A09612}"/>
                    </a:ext>
                  </a:extLst>
                </wp:docPr>
                <wp:cNvGraphicFramePr/>
                <a:graphic xmlns:a="http://schemas.openxmlformats.org/drawingml/2006/main">
                  <a:graphicData uri="http://schemas.microsoft.com/office/word/2010/wordprocessingShape">
                    <wps:wsp>
                      <wps:cNvSpPr txBox="1"/>
                      <wps:spPr>
                        <a:xfrm rot="16200000">
                          <a:off x="0" y="0"/>
                          <a:ext cx="1845377" cy="246221"/>
                        </a:xfrm>
                        <a:prstGeom prst="rect">
                          <a:avLst/>
                        </a:prstGeom>
                        <a:noFill/>
                      </wps:spPr>
                      <wps:txbx>
                        <w:txbxContent>
                          <w:p w14:paraId="7C092960" w14:textId="77777777" w:rsidR="00653285" w:rsidRPr="00175175" w:rsidRDefault="00653285" w:rsidP="00653285">
                            <w:pPr>
                              <w:rPr>
                                <w:rFonts w:asciiTheme="minorHAnsi" w:hAnsi="Calibri" w:cstheme="minorBidi"/>
                                <w:color w:val="000000" w:themeColor="text1"/>
                                <w:kern w:val="24"/>
                                <w:sz w:val="18"/>
                                <w:szCs w:val="18"/>
                              </w:rPr>
                            </w:pPr>
                            <w:r w:rsidRPr="00175175">
                              <w:rPr>
                                <w:rFonts w:asciiTheme="minorHAnsi" w:hAnsi="Calibri" w:cstheme="minorBidi"/>
                                <w:color w:val="000000" w:themeColor="text1"/>
                                <w:kern w:val="24"/>
                                <w:sz w:val="18"/>
                                <w:szCs w:val="18"/>
                              </w:rPr>
                              <w:t xml:space="preserve">© Shutterstock / TOP-STOCKER </w:t>
                            </w:r>
                          </w:p>
                        </w:txbxContent>
                      </wps:txbx>
                      <wps:bodyPr wrap="none" rtlCol="0">
                        <a:spAutoFit/>
                      </wps:bodyPr>
                    </wps:wsp>
                  </a:graphicData>
                </a:graphic>
              </wp:anchor>
            </w:drawing>
          </mc:Choice>
          <mc:Fallback>
            <w:pict>
              <v:shapetype w14:anchorId="7DA9C0BD" id="_x0000_t202" coordsize="21600,21600" o:spt="202" path="m,l,21600r21600,l21600,xe">
                <v:stroke joinstyle="miter"/>
                <v:path gradientshapeok="t" o:connecttype="rect"/>
              </v:shapetype>
              <v:shape id="TextBox 9" o:spid="_x0000_s1026" type="#_x0000_t202" style="position:absolute;margin-left:0;margin-top:240.8pt;width:145.3pt;height:19.4pt;rotation:-90;z-index:251659264;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" filled="f" stroked="f">
                <v:textbox style="mso-fit-shape-to-text:t">
                  <w:txbxContent>
                    <w:p w14:paraId="7C092960" w14:textId="77777777" w:rsidR="00653285" w:rsidRPr="00175175" w:rsidRDefault="00653285" w:rsidP="00653285">
                      <w:pPr>
                        <w:rPr>
                          <w:rFonts w:asciiTheme="minorHAnsi" w:hAnsi="Calibri" w:cstheme="minorBidi"/>
                          <w:color w:val="000000" w:themeColor="text1"/>
                          <w:kern w:val="24"/>
                          <w:sz w:val="18"/>
                          <w:szCs w:val="18"/>
                        </w:rPr>
                      </w:pPr>
                      <w:r w:rsidRPr="00175175">
                        <w:rPr>
                          <w:rFonts w:asciiTheme="minorHAnsi" w:hAnsi="Calibri" w:cstheme="minorBidi"/>
                          <w:color w:val="000000" w:themeColor="text1"/>
                          <w:kern w:val="24"/>
                          <w:sz w:val="18"/>
                          <w:szCs w:val="18"/>
                        </w:rPr>
                        <w:t xml:space="preserve">© Shutterstock / TOP-STOCKER </w:t>
                      </w:r>
                    </w:p>
                  </w:txbxContent>
                </v:textbox>
                <w10:wrap anchorx="margin"/>
              </v:shape>
            </w:pict>
          </mc:Fallback>
        </mc:AlternateContent>
      </w:r>
      <w:r w:rsidR="006B1A40">
        <w:rPr>
          <w:noProof/>
        </w:rPr>
        <w:drawing>
          <wp:inline distT="0" distB="0" distL="0" distR="0" wp14:anchorId="4CC7676E" wp14:editId="6D84BFE2">
            <wp:extent cx="5731510" cy="3820636"/>
            <wp:effectExtent l="0" t="0" r="2540" b="8890"/>
            <wp:docPr id="763704658" name="Picture 1" descr="A photograph of a model of sodium chloride. The model consists of 14 green plastic balls with six holes (representing chloride) and 13 smaller silver plastic balls with six holes (representing sodium). The balls are alternately arranged in a 3 x 3 x 3 cube and are connected by a short pale grey plastic connector representing the electrostatic force of attraction between the 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04658" name="Picture 1" descr="A photograph of a model of sodium chloride. The model consists of 14 green plastic balls with six holes (representing chloride) and 13 smaller silver plastic balls with six holes (representing sodium). The balls are alternately arranged in a 3 x 3 x 3 cube and are connected by a short pale grey plastic connector representing the electrostatic force of attraction between the ions."/>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5731510" cy="3820636"/>
                    </a:xfrm>
                    <a:prstGeom prst="rect">
                      <a:avLst/>
                    </a:prstGeom>
                    <a:noFill/>
                    <a:ln>
                      <a:noFill/>
                    </a:ln>
                  </pic:spPr>
                </pic:pic>
              </a:graphicData>
            </a:graphic>
          </wp:inline>
        </w:drawing>
      </w:r>
    </w:p>
    <w:p w14:paraId="4D47AC30" w14:textId="30602016" w:rsidR="00024F29" w:rsidRPr="00525E1B" w:rsidRDefault="00024F29" w:rsidP="00525E1B">
      <w:pPr>
        <w:pStyle w:val="RSCBasictext"/>
        <w:rPr>
          <w:color w:val="C8102E"/>
          <w:lang w:eastAsia="en-GB"/>
        </w:rPr>
      </w:pPr>
      <w:r w:rsidRPr="00525E1B">
        <w:rPr>
          <w:color w:val="C8102E"/>
          <w:lang w:eastAsia="en-GB"/>
        </w:rPr>
        <w:t>A model of an ionic lattice; the ions are held to each other by electrostatic attraction.</w:t>
      </w:r>
    </w:p>
    <w:sectPr w:rsidR="00024F29" w:rsidRPr="00525E1B" w:rsidSect="00231C1C">
      <w:headerReference w:type="default" r:id="rId32"/>
      <w:footerReference w:type="default" r:id="rId3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EE7A" w14:textId="77777777" w:rsidR="00D0302F" w:rsidRDefault="00D0302F" w:rsidP="008A1B0B">
      <w:pPr>
        <w:spacing w:after="0" w:line="240" w:lineRule="auto"/>
      </w:pPr>
      <w:r>
        <w:separator/>
      </w:r>
    </w:p>
  </w:endnote>
  <w:endnote w:type="continuationSeparator" w:id="0">
    <w:p w14:paraId="64481081" w14:textId="77777777" w:rsidR="00D0302F" w:rsidRDefault="00D0302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8E0969B"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E169C">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A60C" w14:textId="77777777" w:rsidR="00D0302F" w:rsidRDefault="00D0302F" w:rsidP="008A1B0B">
      <w:pPr>
        <w:spacing w:after="0" w:line="240" w:lineRule="auto"/>
      </w:pPr>
      <w:r>
        <w:separator/>
      </w:r>
    </w:p>
  </w:footnote>
  <w:footnote w:type="continuationSeparator" w:id="0">
    <w:p w14:paraId="3C5D7673" w14:textId="77777777" w:rsidR="00D0302F" w:rsidRDefault="00D0302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42D66A1"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21123E3C">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81A446A">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E009C9">
      <w:rPr>
        <w:rFonts w:ascii="Century Gothic" w:hAnsi="Century Gothic"/>
        <w:b/>
        <w:bCs/>
        <w:color w:val="C8102E"/>
        <w:sz w:val="30"/>
        <w:szCs w:val="30"/>
      </w:rPr>
      <w:t>Stretch and challenge</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742FFF0"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6067EF" w:rsidRPr="008068CE">
        <w:rPr>
          <w:rStyle w:val="Hyperlink"/>
          <w:rFonts w:ascii="Century Gothic" w:hAnsi="Century Gothic"/>
          <w:b/>
          <w:bCs/>
          <w:color w:val="C00000"/>
          <w:sz w:val="18"/>
          <w:szCs w:val="18"/>
          <w:u w:val="none"/>
        </w:rPr>
        <w:t>rsc.li/4jUWg02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44EA6"/>
    <w:multiLevelType w:val="hybridMultilevel"/>
    <w:tmpl w:val="FE9A1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1575168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F29"/>
    <w:rsid w:val="00056090"/>
    <w:rsid w:val="000647E4"/>
    <w:rsid w:val="000715A5"/>
    <w:rsid w:val="000807BA"/>
    <w:rsid w:val="000866AC"/>
    <w:rsid w:val="00092315"/>
    <w:rsid w:val="00092796"/>
    <w:rsid w:val="000A31FD"/>
    <w:rsid w:val="000A768F"/>
    <w:rsid w:val="000B0FE6"/>
    <w:rsid w:val="000C44C5"/>
    <w:rsid w:val="000E169C"/>
    <w:rsid w:val="000E3C88"/>
    <w:rsid w:val="000E5F58"/>
    <w:rsid w:val="000F0591"/>
    <w:rsid w:val="00106210"/>
    <w:rsid w:val="00110A76"/>
    <w:rsid w:val="00124A17"/>
    <w:rsid w:val="00141231"/>
    <w:rsid w:val="001663F4"/>
    <w:rsid w:val="0016756D"/>
    <w:rsid w:val="00175175"/>
    <w:rsid w:val="001F3365"/>
    <w:rsid w:val="00212157"/>
    <w:rsid w:val="00231C1C"/>
    <w:rsid w:val="0023536A"/>
    <w:rsid w:val="002A33CA"/>
    <w:rsid w:val="002A57CF"/>
    <w:rsid w:val="002A77FF"/>
    <w:rsid w:val="002B1400"/>
    <w:rsid w:val="002C2223"/>
    <w:rsid w:val="002C7185"/>
    <w:rsid w:val="002D34BA"/>
    <w:rsid w:val="002E47CA"/>
    <w:rsid w:val="002E5E5D"/>
    <w:rsid w:val="002E6D68"/>
    <w:rsid w:val="003059AB"/>
    <w:rsid w:val="00325446"/>
    <w:rsid w:val="0033601E"/>
    <w:rsid w:val="003364FB"/>
    <w:rsid w:val="00362CC1"/>
    <w:rsid w:val="00370C6F"/>
    <w:rsid w:val="003716B9"/>
    <w:rsid w:val="003859E1"/>
    <w:rsid w:val="003A6537"/>
    <w:rsid w:val="003B4674"/>
    <w:rsid w:val="003C08E2"/>
    <w:rsid w:val="003E3E15"/>
    <w:rsid w:val="003E5776"/>
    <w:rsid w:val="003F2EF3"/>
    <w:rsid w:val="00436363"/>
    <w:rsid w:val="0046389A"/>
    <w:rsid w:val="00473518"/>
    <w:rsid w:val="004A6C93"/>
    <w:rsid w:val="004D46C0"/>
    <w:rsid w:val="004D531B"/>
    <w:rsid w:val="004F69AD"/>
    <w:rsid w:val="00516F80"/>
    <w:rsid w:val="00525B8C"/>
    <w:rsid w:val="00525E1B"/>
    <w:rsid w:val="00527E87"/>
    <w:rsid w:val="00534E94"/>
    <w:rsid w:val="00560449"/>
    <w:rsid w:val="0056258C"/>
    <w:rsid w:val="00573D8C"/>
    <w:rsid w:val="005758DB"/>
    <w:rsid w:val="00577E11"/>
    <w:rsid w:val="005820B0"/>
    <w:rsid w:val="00585EB0"/>
    <w:rsid w:val="005C6C3D"/>
    <w:rsid w:val="005F0459"/>
    <w:rsid w:val="006067EF"/>
    <w:rsid w:val="00610A63"/>
    <w:rsid w:val="00626D83"/>
    <w:rsid w:val="00637488"/>
    <w:rsid w:val="00644066"/>
    <w:rsid w:val="00653285"/>
    <w:rsid w:val="006820BE"/>
    <w:rsid w:val="0069045B"/>
    <w:rsid w:val="006A1E55"/>
    <w:rsid w:val="006B0F37"/>
    <w:rsid w:val="006B1A40"/>
    <w:rsid w:val="006C7B0F"/>
    <w:rsid w:val="006D790E"/>
    <w:rsid w:val="007042E5"/>
    <w:rsid w:val="007162D4"/>
    <w:rsid w:val="00741ECD"/>
    <w:rsid w:val="007424D7"/>
    <w:rsid w:val="00750024"/>
    <w:rsid w:val="00764810"/>
    <w:rsid w:val="00764FC3"/>
    <w:rsid w:val="007859BF"/>
    <w:rsid w:val="0079342B"/>
    <w:rsid w:val="00793A37"/>
    <w:rsid w:val="007A29BF"/>
    <w:rsid w:val="0080546C"/>
    <w:rsid w:val="008068CE"/>
    <w:rsid w:val="00813905"/>
    <w:rsid w:val="00835B9C"/>
    <w:rsid w:val="00841A83"/>
    <w:rsid w:val="00847922"/>
    <w:rsid w:val="008643D4"/>
    <w:rsid w:val="00882624"/>
    <w:rsid w:val="008874D2"/>
    <w:rsid w:val="0089187A"/>
    <w:rsid w:val="00894A7A"/>
    <w:rsid w:val="00896488"/>
    <w:rsid w:val="008A1B0B"/>
    <w:rsid w:val="008A28EA"/>
    <w:rsid w:val="008B6CE0"/>
    <w:rsid w:val="008C0669"/>
    <w:rsid w:val="008D5E13"/>
    <w:rsid w:val="0090549C"/>
    <w:rsid w:val="00937D6C"/>
    <w:rsid w:val="0095578D"/>
    <w:rsid w:val="00972E9D"/>
    <w:rsid w:val="00973447"/>
    <w:rsid w:val="00977F58"/>
    <w:rsid w:val="0099124A"/>
    <w:rsid w:val="009917BF"/>
    <w:rsid w:val="009A3093"/>
    <w:rsid w:val="009B2FCD"/>
    <w:rsid w:val="009C52BE"/>
    <w:rsid w:val="009D2A48"/>
    <w:rsid w:val="009D56A3"/>
    <w:rsid w:val="009D68A9"/>
    <w:rsid w:val="00A177A3"/>
    <w:rsid w:val="00A34D68"/>
    <w:rsid w:val="00A4566F"/>
    <w:rsid w:val="00A5348B"/>
    <w:rsid w:val="00A55D0E"/>
    <w:rsid w:val="00A571EB"/>
    <w:rsid w:val="00A5740C"/>
    <w:rsid w:val="00A63EC7"/>
    <w:rsid w:val="00A6453C"/>
    <w:rsid w:val="00A66266"/>
    <w:rsid w:val="00A66348"/>
    <w:rsid w:val="00A725C3"/>
    <w:rsid w:val="00A80AE9"/>
    <w:rsid w:val="00A84218"/>
    <w:rsid w:val="00AA3064"/>
    <w:rsid w:val="00AB639C"/>
    <w:rsid w:val="00AB74D1"/>
    <w:rsid w:val="00AF366F"/>
    <w:rsid w:val="00B07819"/>
    <w:rsid w:val="00B226A7"/>
    <w:rsid w:val="00B32608"/>
    <w:rsid w:val="00B67A03"/>
    <w:rsid w:val="00B71E66"/>
    <w:rsid w:val="00B721F1"/>
    <w:rsid w:val="00B846FC"/>
    <w:rsid w:val="00BC5741"/>
    <w:rsid w:val="00BD1443"/>
    <w:rsid w:val="00C1703F"/>
    <w:rsid w:val="00C322CA"/>
    <w:rsid w:val="00C34AB1"/>
    <w:rsid w:val="00C53462"/>
    <w:rsid w:val="00C6122F"/>
    <w:rsid w:val="00C644EC"/>
    <w:rsid w:val="00C92EE0"/>
    <w:rsid w:val="00CD000D"/>
    <w:rsid w:val="00CD5E3C"/>
    <w:rsid w:val="00D0302F"/>
    <w:rsid w:val="00D21581"/>
    <w:rsid w:val="00D444BA"/>
    <w:rsid w:val="00D55B4E"/>
    <w:rsid w:val="00D56C1B"/>
    <w:rsid w:val="00D60989"/>
    <w:rsid w:val="00D62A21"/>
    <w:rsid w:val="00D7050D"/>
    <w:rsid w:val="00D732BB"/>
    <w:rsid w:val="00D92EA9"/>
    <w:rsid w:val="00D93D10"/>
    <w:rsid w:val="00D9689A"/>
    <w:rsid w:val="00DE0056"/>
    <w:rsid w:val="00DE4519"/>
    <w:rsid w:val="00DF1C5C"/>
    <w:rsid w:val="00E009C9"/>
    <w:rsid w:val="00E01C64"/>
    <w:rsid w:val="00E174ED"/>
    <w:rsid w:val="00E23EAC"/>
    <w:rsid w:val="00E36D24"/>
    <w:rsid w:val="00E408AC"/>
    <w:rsid w:val="00E47CCE"/>
    <w:rsid w:val="00E505DF"/>
    <w:rsid w:val="00E56555"/>
    <w:rsid w:val="00E63CAB"/>
    <w:rsid w:val="00E7279C"/>
    <w:rsid w:val="00ED698B"/>
    <w:rsid w:val="00EF3FDA"/>
    <w:rsid w:val="00F22C57"/>
    <w:rsid w:val="00F55FE1"/>
    <w:rsid w:val="00F709FB"/>
    <w:rsid w:val="00F71435"/>
    <w:rsid w:val="00F71CF7"/>
    <w:rsid w:val="00F91AFC"/>
    <w:rsid w:val="00F94905"/>
    <w:rsid w:val="00F95A82"/>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D68A9"/>
    <w:rPr>
      <w:sz w:val="16"/>
      <w:szCs w:val="16"/>
    </w:rPr>
  </w:style>
  <w:style w:type="paragraph" w:styleId="CommentText0">
    <w:name w:val="annotation text"/>
    <w:basedOn w:val="Normal"/>
    <w:link w:val="CommentTextChar"/>
    <w:uiPriority w:val="99"/>
    <w:unhideWhenUsed/>
    <w:rsid w:val="009D68A9"/>
    <w:pPr>
      <w:spacing w:line="240" w:lineRule="auto"/>
    </w:pPr>
  </w:style>
  <w:style w:type="character" w:customStyle="1" w:styleId="CommentTextChar">
    <w:name w:val="Comment Text Char"/>
    <w:basedOn w:val="DefaultParagraphFont"/>
    <w:link w:val="CommentText0"/>
    <w:uiPriority w:val="99"/>
    <w:rsid w:val="009D68A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D68A9"/>
    <w:rPr>
      <w:b/>
      <w:bCs/>
    </w:rPr>
  </w:style>
  <w:style w:type="character" w:customStyle="1" w:styleId="CommentSubjectChar">
    <w:name w:val="Comment Subject Char"/>
    <w:basedOn w:val="CommentTextChar"/>
    <w:link w:val="CommentSubject"/>
    <w:uiPriority w:val="99"/>
    <w:semiHidden/>
    <w:rsid w:val="009D68A9"/>
    <w:rPr>
      <w:rFonts w:ascii="Arial" w:hAnsi="Arial" w:cs="Arial"/>
      <w:b/>
      <w:bCs/>
      <w:sz w:val="20"/>
      <w:szCs w:val="20"/>
      <w:lang w:eastAsia="zh-CN"/>
    </w:rPr>
  </w:style>
  <w:style w:type="paragraph" w:styleId="Revision">
    <w:name w:val="Revision"/>
    <w:hidden/>
    <w:uiPriority w:val="99"/>
    <w:semiHidden/>
    <w:rsid w:val="00573D8C"/>
    <w:pPr>
      <w:spacing w:after="0" w:line="240" w:lineRule="auto"/>
    </w:pPr>
    <w:rPr>
      <w:rFonts w:ascii="Arial" w:hAnsi="Arial" w:cs="Arial"/>
      <w:sz w:val="20"/>
      <w:szCs w:val="20"/>
      <w:lang w:eastAsia="zh-CN"/>
    </w:rPr>
  </w:style>
  <w:style w:type="character" w:styleId="Mention">
    <w:name w:val="Mention"/>
    <w:basedOn w:val="DefaultParagraphFont"/>
    <w:uiPriority w:val="99"/>
    <w:unhideWhenUsed/>
    <w:rsid w:val="002A33CA"/>
    <w:rPr>
      <w:color w:val="2B579A"/>
      <w:shd w:val="clear" w:color="auto" w:fill="E1DFDD"/>
    </w:rPr>
  </w:style>
  <w:style w:type="character" w:styleId="FollowedHyperlink">
    <w:name w:val="FollowedHyperlink"/>
    <w:basedOn w:val="DefaultParagraphFont"/>
    <w:uiPriority w:val="99"/>
    <w:semiHidden/>
    <w:unhideWhenUsed/>
    <w:rsid w:val="00606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10" Type="http://schemas.openxmlformats.org/officeDocument/2006/relationships/hyperlink" Target="https://rsc.li/4jOvTrl" TargetMode="External"/><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rsc.li/4jUWg02" TargetMode="External"/><Relationship Id="rId2" Type="http://schemas.openxmlformats.org/officeDocument/2006/relationships/image" Target="media/image23.emf"/><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3FB7-A464-4B34-9A62-FF9C16A9C5C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42650E81-0CB3-477B-83A2-71F16823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71C17-9505-4349-BECE-11C5AD082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449</Words>
  <Characters>2114</Characters>
  <Application>Microsoft Office Word</Application>
  <DocSecurity>0</DocSecurity>
  <Lines>151</Lines>
  <Paragraphs>50</Paragraphs>
  <ScaleCrop>false</ScaleCrop>
  <HeadingPairs>
    <vt:vector size="2" baseType="variant">
      <vt:variant>
        <vt:lpstr>Title</vt:lpstr>
      </vt:variant>
      <vt:variant>
        <vt:i4>1</vt:i4>
      </vt:variant>
    </vt:vector>
  </HeadingPairs>
  <TitlesOfParts>
    <vt:vector size="1" baseType="lpstr">
      <vt:lpstr>Ionic bonding and electron transfer stretch and challenge teacher</vt:lpstr>
    </vt:vector>
  </TitlesOfParts>
  <Manager/>
  <Company>Royal Society of Chemistry</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and electron transfer stretch and challenge teacher</dc:title>
  <dc:subject/>
  <dc:creator>Royal Society of Chemistry</dc:creator>
  <cp:keywords>Ionic bonding; electron transfer; exothermic; burning magnesium; stretch and challenge; discussion; group work; chemistry GCSE</cp:keywords>
  <dc:description>From https://rsc.li/4jUWg02; student worksheet and lesson slides also available</dc:description>
  <cp:lastModifiedBy>Kirsty Patterson</cp:lastModifiedBy>
  <cp:revision>65</cp:revision>
  <dcterms:created xsi:type="dcterms:W3CDTF">2025-05-27T15:33:00Z</dcterms:created>
  <dcterms:modified xsi:type="dcterms:W3CDTF">2025-06-10T14:34:00Z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