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09214" w14:textId="5F6C7957" w:rsidR="00A0567D" w:rsidRDefault="005B3F59" w:rsidP="000E5C03">
      <w:pPr>
        <w:pStyle w:val="RSCH1"/>
        <w:ind w:right="-709"/>
      </w:pPr>
      <w:bookmarkStart w:id="0" w:name="_Hlk92457231"/>
      <w:r>
        <w:t>Is toothpaste basic?</w:t>
      </w:r>
    </w:p>
    <w:p w14:paraId="327957B9" w14:textId="7DBAF1BB" w:rsidR="00D237F9" w:rsidRPr="00602FE9" w:rsidRDefault="00F6059A" w:rsidP="00D237F9">
      <w:pPr>
        <w:pStyle w:val="RSCBasictext"/>
      </w:pPr>
      <w:bookmarkStart w:id="1" w:name="_Hlk92457298"/>
      <w:r>
        <w:t xml:space="preserve">Use this practical with your learners to test the basicity of different toothpastes. </w:t>
      </w:r>
      <w:bookmarkEnd w:id="1"/>
      <w:r w:rsidR="00914B45">
        <w:t xml:space="preserve">The </w:t>
      </w:r>
      <w:r w:rsidR="00D237F9">
        <w:t xml:space="preserve">investigation </w:t>
      </w:r>
      <w:r w:rsidR="00970C8E">
        <w:t>can</w:t>
      </w:r>
      <w:r w:rsidR="003A2D9C">
        <w:t xml:space="preserve"> be set up as </w:t>
      </w:r>
      <w:r w:rsidR="00C85E6D">
        <w:t xml:space="preserve">a problem-solving </w:t>
      </w:r>
      <w:r w:rsidR="005B373D">
        <w:t>tas</w:t>
      </w:r>
      <w:r w:rsidR="001E0A58">
        <w:t>k</w:t>
      </w:r>
      <w:r w:rsidR="00DE45BE">
        <w:t xml:space="preserve"> </w:t>
      </w:r>
      <w:r w:rsidR="0014288B">
        <w:t>where learners can design their own practical</w:t>
      </w:r>
      <w:r w:rsidR="00146B5C">
        <w:t xml:space="preserve"> </w:t>
      </w:r>
      <w:r w:rsidR="00B55C51">
        <w:t xml:space="preserve">using the </w:t>
      </w:r>
      <w:r w:rsidR="00B55C51" w:rsidRPr="004245D9">
        <w:t>prompt</w:t>
      </w:r>
      <w:r w:rsidR="00B55C51">
        <w:t>:</w:t>
      </w:r>
      <w:r w:rsidR="00F51181">
        <w:t xml:space="preserve"> </w:t>
      </w:r>
      <w:r w:rsidR="00A57986">
        <w:t>what toothpaste is best for neutralising mouth acid</w:t>
      </w:r>
      <w:r w:rsidR="009B6E94">
        <w:t>?</w:t>
      </w:r>
      <w:r w:rsidR="00B55C51">
        <w:t xml:space="preserve"> </w:t>
      </w:r>
      <w:hyperlink r:id="rId11" w:history="1">
        <w:r w:rsidR="007B1F61" w:rsidRPr="00457C58">
          <w:rPr>
            <w:rStyle w:val="Hyperlink"/>
          </w:rPr>
          <w:t xml:space="preserve">Guidance </w:t>
        </w:r>
      </w:hyperlink>
      <w:r w:rsidR="007B1F61" w:rsidRPr="007B1F61">
        <w:t>on how to set up a problem</w:t>
      </w:r>
      <w:r w:rsidR="007B1F61">
        <w:t>-</w:t>
      </w:r>
      <w:r w:rsidR="007B1F61" w:rsidRPr="007B1F61">
        <w:t xml:space="preserve">solving </w:t>
      </w:r>
      <w:r w:rsidR="000C6348">
        <w:t>task</w:t>
      </w:r>
      <w:r w:rsidR="007B1F61" w:rsidRPr="007B1F61">
        <w:t xml:space="preserve"> can be found</w:t>
      </w:r>
      <w:r w:rsidR="00457C58">
        <w:t xml:space="preserve"> alongside other</w:t>
      </w:r>
      <w:r w:rsidR="007B1F61" w:rsidRPr="007B1F61">
        <w:t xml:space="preserve"> </w:t>
      </w:r>
      <w:hyperlink r:id="rId12" w:history="1">
        <w:r w:rsidR="000B6333" w:rsidRPr="00402EF9">
          <w:rPr>
            <w:rStyle w:val="Hyperlink"/>
          </w:rPr>
          <w:t>In search of solutions</w:t>
        </w:r>
      </w:hyperlink>
      <w:r w:rsidR="00457C58">
        <w:t xml:space="preserve"> </w:t>
      </w:r>
      <w:r w:rsidR="00076810">
        <w:t>activities</w:t>
      </w:r>
      <w:r w:rsidR="007B1F61">
        <w:t xml:space="preserve">. </w:t>
      </w:r>
      <w:r w:rsidR="00861DB3">
        <w:t xml:space="preserve">The </w:t>
      </w:r>
      <w:r w:rsidR="00402EF9">
        <w:t>practical</w:t>
      </w:r>
      <w:r w:rsidR="00861DB3">
        <w:t xml:space="preserve"> </w:t>
      </w:r>
      <w:r w:rsidR="00D237F9" w:rsidRPr="00D237F9">
        <w:t xml:space="preserve">described </w:t>
      </w:r>
      <w:r w:rsidR="00D237F9">
        <w:t>here</w:t>
      </w:r>
      <w:r w:rsidR="00D237F9" w:rsidRPr="00D237F9">
        <w:t xml:space="preserve"> can </w:t>
      </w:r>
      <w:r w:rsidR="00076810">
        <w:t xml:space="preserve">also </w:t>
      </w:r>
      <w:r w:rsidR="00D237F9" w:rsidRPr="00D237F9">
        <w:t xml:space="preserve">be repeated with indigestion tablets or use this similar </w:t>
      </w:r>
      <w:hyperlink r:id="rId13" w:history="1">
        <w:r w:rsidR="00D237F9" w:rsidRPr="00D237F9">
          <w:rPr>
            <w:rStyle w:val="Hyperlink"/>
          </w:rPr>
          <w:t xml:space="preserve">experiment </w:t>
        </w:r>
      </w:hyperlink>
      <w:r w:rsidR="00D237F9" w:rsidRPr="00D237F9">
        <w:t>involving titration.</w:t>
      </w:r>
    </w:p>
    <w:p w14:paraId="0680DBD7" w14:textId="5DD6517D" w:rsidR="00A0567D" w:rsidRDefault="005B3F59" w:rsidP="005B3F59">
      <w:pPr>
        <w:pStyle w:val="RSCH2"/>
      </w:pPr>
      <w:r>
        <w:t>Learning objective</w:t>
      </w:r>
      <w:r w:rsidR="000E72E6">
        <w:t>s</w:t>
      </w:r>
    </w:p>
    <w:p w14:paraId="044D33CD" w14:textId="13778F5E" w:rsidR="006061B5" w:rsidRPr="006061B5" w:rsidRDefault="009B23E8" w:rsidP="006061B5">
      <w:pPr>
        <w:pStyle w:val="RSCnumberedlist"/>
      </w:pPr>
      <w:r>
        <w:rPr>
          <w:color w:val="auto"/>
        </w:rPr>
        <w:t xml:space="preserve">Develop </w:t>
      </w:r>
      <w:r w:rsidR="006061B5" w:rsidRPr="006061B5">
        <w:rPr>
          <w:color w:val="auto"/>
        </w:rPr>
        <w:t>observation</w:t>
      </w:r>
      <w:r>
        <w:rPr>
          <w:color w:val="auto"/>
        </w:rPr>
        <w:t xml:space="preserve"> </w:t>
      </w:r>
      <w:r w:rsidR="006061B5" w:rsidRPr="006061B5">
        <w:rPr>
          <w:color w:val="auto"/>
        </w:rPr>
        <w:t>s</w:t>
      </w:r>
      <w:r>
        <w:rPr>
          <w:color w:val="auto"/>
        </w:rPr>
        <w:t>kills by</w:t>
      </w:r>
      <w:r w:rsidR="004B0987">
        <w:rPr>
          <w:color w:val="auto"/>
        </w:rPr>
        <w:t xml:space="preserve"> compar</w:t>
      </w:r>
      <w:r w:rsidR="002C004B">
        <w:rPr>
          <w:color w:val="auto"/>
        </w:rPr>
        <w:t>ing</w:t>
      </w:r>
      <w:r w:rsidR="004B0987">
        <w:rPr>
          <w:color w:val="auto"/>
        </w:rPr>
        <w:t xml:space="preserve"> the </w:t>
      </w:r>
      <w:r w:rsidR="0069432D">
        <w:rPr>
          <w:color w:val="auto"/>
        </w:rPr>
        <w:t>pH</w:t>
      </w:r>
      <w:r w:rsidR="00C43812">
        <w:rPr>
          <w:color w:val="auto"/>
        </w:rPr>
        <w:t>s</w:t>
      </w:r>
      <w:r w:rsidR="004B0987">
        <w:rPr>
          <w:color w:val="auto"/>
        </w:rPr>
        <w:t xml:space="preserve"> of different toothpastes.</w:t>
      </w:r>
    </w:p>
    <w:p w14:paraId="086AC098" w14:textId="6215B1C3" w:rsidR="006061B5" w:rsidRDefault="006061B5" w:rsidP="006061B5">
      <w:pPr>
        <w:pStyle w:val="RSCnumberedlist"/>
      </w:pPr>
      <w:r>
        <w:t xml:space="preserve">Determine which </w:t>
      </w:r>
      <w:r w:rsidR="00F5021B">
        <w:t>properties are</w:t>
      </w:r>
      <w:r>
        <w:t xml:space="preserve"> best </w:t>
      </w:r>
      <w:r w:rsidR="00F5021B">
        <w:t>for</w:t>
      </w:r>
      <w:r>
        <w:t xml:space="preserve"> neutralising mouth acid and why.</w:t>
      </w:r>
    </w:p>
    <w:p w14:paraId="6D96E77A" w14:textId="5C74B4E9" w:rsidR="005739C1" w:rsidRDefault="005B3F59" w:rsidP="006061B5">
      <w:pPr>
        <w:pStyle w:val="RSCH2"/>
      </w:pPr>
      <w:r>
        <w:t xml:space="preserve">Equipment list </w:t>
      </w:r>
    </w:p>
    <w:p w14:paraId="645615CF" w14:textId="151FCDB0" w:rsidR="005B3F59" w:rsidRDefault="00917A85" w:rsidP="005B3F59">
      <w:pPr>
        <w:pStyle w:val="RSCBulletedlist"/>
      </w:pPr>
      <w:r>
        <w:t xml:space="preserve">3 </w:t>
      </w:r>
      <w:r w:rsidR="005B3F59">
        <w:t xml:space="preserve">test tubes </w:t>
      </w:r>
    </w:p>
    <w:p w14:paraId="558F988A" w14:textId="77777777" w:rsidR="005B3F59" w:rsidRDefault="005B3F59" w:rsidP="005B3F59">
      <w:pPr>
        <w:pStyle w:val="RSCBulletedlist"/>
      </w:pPr>
      <w:r>
        <w:t>Distilled water</w:t>
      </w:r>
    </w:p>
    <w:p w14:paraId="00DBC705" w14:textId="5533CF05" w:rsidR="005B3F59" w:rsidRDefault="00917A85" w:rsidP="005B3F59">
      <w:pPr>
        <w:pStyle w:val="RSCBulletedlist"/>
      </w:pPr>
      <w:r>
        <w:t xml:space="preserve">3 </w:t>
      </w:r>
      <w:r w:rsidR="005B3F59">
        <w:t xml:space="preserve">brands of toothpaste (we used Aquafresh 24h sugar acid protection, Colgate cavity protection and </w:t>
      </w:r>
      <w:r w:rsidR="004D3F07" w:rsidRPr="00863088">
        <w:t>Arm and hammer c</w:t>
      </w:r>
      <w:r w:rsidR="005B3F59" w:rsidRPr="00863088">
        <w:t>h</w:t>
      </w:r>
      <w:r w:rsidR="005B3F59">
        <w:t>arcoal white*)</w:t>
      </w:r>
    </w:p>
    <w:p w14:paraId="0A6EB8FA" w14:textId="4AD2F4C3" w:rsidR="005B3F59" w:rsidRDefault="00917A85" w:rsidP="005B3F59">
      <w:pPr>
        <w:pStyle w:val="RSCBulletedlist"/>
      </w:pPr>
      <w:r>
        <w:t xml:space="preserve">3 </w:t>
      </w:r>
      <w:r w:rsidR="005B3F59">
        <w:t>eye droppers / Pasteur pipettes</w:t>
      </w:r>
    </w:p>
    <w:p w14:paraId="54BAFE1A" w14:textId="431D430B" w:rsidR="005B3F59" w:rsidRDefault="00917A85" w:rsidP="005B3F59">
      <w:pPr>
        <w:pStyle w:val="RSCBulletedlist"/>
      </w:pPr>
      <w:r>
        <w:t>1</w:t>
      </w:r>
      <w:r w:rsidRPr="00215F46">
        <w:t xml:space="preserve"> </w:t>
      </w:r>
      <w:r w:rsidR="00215F46">
        <w:t>spotting tile</w:t>
      </w:r>
    </w:p>
    <w:p w14:paraId="24B30207" w14:textId="77777777" w:rsidR="005B3F59" w:rsidRDefault="005B3F59" w:rsidP="005B3F59">
      <w:pPr>
        <w:pStyle w:val="RSCBulletedlist"/>
      </w:pPr>
      <w:r>
        <w:t>Universal indicator</w:t>
      </w:r>
    </w:p>
    <w:p w14:paraId="477B0A1C" w14:textId="0C1869D4" w:rsidR="00914B45" w:rsidRDefault="005B3F59" w:rsidP="00914B45">
      <w:pPr>
        <w:pStyle w:val="RSCBulletedlist"/>
      </w:pPr>
      <w:r>
        <w:t>0.1 M ethanoic acid</w:t>
      </w:r>
      <w:r w:rsidR="00914B45">
        <w:t xml:space="preserve"> (danger: corrosive and flammable)</w:t>
      </w:r>
    </w:p>
    <w:p w14:paraId="026188C9" w14:textId="741AF08A" w:rsidR="005B3F59" w:rsidRDefault="00914B45" w:rsidP="00914B45">
      <w:pPr>
        <w:pStyle w:val="RSCBulletedlist"/>
      </w:pPr>
      <w:r>
        <w:t>Safety spectacles</w:t>
      </w:r>
    </w:p>
    <w:p w14:paraId="52253483" w14:textId="35A266DB" w:rsidR="005B3F59" w:rsidRDefault="005B3F59" w:rsidP="005B3F59">
      <w:pPr>
        <w:pStyle w:val="RSCBulletedlist"/>
        <w:numPr>
          <w:ilvl w:val="0"/>
          <w:numId w:val="0"/>
        </w:numPr>
      </w:pPr>
    </w:p>
    <w:p w14:paraId="058AF9AA" w14:textId="1221F6CE" w:rsidR="00F6059A" w:rsidRPr="00C43812" w:rsidRDefault="00F6059A" w:rsidP="00C43812">
      <w:pPr>
        <w:pStyle w:val="RSCBasictext"/>
      </w:pPr>
      <w:r w:rsidRPr="00C43812">
        <w:t>*</w:t>
      </w:r>
      <w:r w:rsidR="00C43812">
        <w:t xml:space="preserve"> </w:t>
      </w:r>
      <w:r w:rsidRPr="00C43812">
        <w:t>Other toothpaste brands are, of course, available</w:t>
      </w:r>
      <w:r w:rsidR="002A5FE5" w:rsidRPr="00C43812">
        <w:t xml:space="preserve"> to be tested</w:t>
      </w:r>
      <w:r w:rsidRPr="00C43812">
        <w:t xml:space="preserve">. Those </w:t>
      </w:r>
      <w:r w:rsidR="00930997" w:rsidRPr="00C43812">
        <w:t>used</w:t>
      </w:r>
      <w:r w:rsidRPr="00C43812">
        <w:t xml:space="preserve"> here provided a good selection of properties (neutral, </w:t>
      </w:r>
      <w:proofErr w:type="gramStart"/>
      <w:r w:rsidRPr="00C43812">
        <w:t>alkaline</w:t>
      </w:r>
      <w:proofErr w:type="gramEnd"/>
      <w:r w:rsidRPr="00C43812">
        <w:t xml:space="preserve"> and basic).</w:t>
      </w:r>
      <w:r w:rsidR="00E21D67" w:rsidRPr="00C43812">
        <w:t xml:space="preserve"> Neutral toothpast</w:t>
      </w:r>
      <w:r w:rsidR="0020257D" w:rsidRPr="00C43812">
        <w:t xml:space="preserve">es will contain no bases or alkalis in the ingredients. </w:t>
      </w:r>
      <w:r w:rsidR="00217AFB" w:rsidRPr="00C43812">
        <w:t>C</w:t>
      </w:r>
      <w:r w:rsidR="001D165A" w:rsidRPr="00C43812">
        <w:t xml:space="preserve">alcium carbonate will often be </w:t>
      </w:r>
      <w:r w:rsidR="00792E7B" w:rsidRPr="00C43812">
        <w:t xml:space="preserve">the insoluble base </w:t>
      </w:r>
      <w:r w:rsidR="002E34B2" w:rsidRPr="00C43812">
        <w:t xml:space="preserve">included as </w:t>
      </w:r>
      <w:r w:rsidR="001D165A" w:rsidRPr="00C43812">
        <w:t xml:space="preserve">an </w:t>
      </w:r>
      <w:r w:rsidR="00521A52" w:rsidRPr="00C43812">
        <w:t>ingredient</w:t>
      </w:r>
      <w:r w:rsidR="002E34B2" w:rsidRPr="00C43812">
        <w:t xml:space="preserve">, </w:t>
      </w:r>
      <w:r w:rsidR="0093619A" w:rsidRPr="00C43812">
        <w:t>acting</w:t>
      </w:r>
      <w:r w:rsidR="00DB55BF" w:rsidRPr="00C43812">
        <w:t xml:space="preserve"> </w:t>
      </w:r>
      <w:r w:rsidR="00747F43" w:rsidRPr="00C43812">
        <w:t>as an abrasive</w:t>
      </w:r>
      <w:r w:rsidR="00EF2353" w:rsidRPr="00C43812">
        <w:t xml:space="preserve"> </w:t>
      </w:r>
      <w:r w:rsidR="00892739" w:rsidRPr="00C43812">
        <w:t>too</w:t>
      </w:r>
      <w:r w:rsidR="00747F43" w:rsidRPr="00C43812">
        <w:t>.</w:t>
      </w:r>
      <w:r w:rsidR="00521A52" w:rsidRPr="00C43812">
        <w:t xml:space="preserve"> </w:t>
      </w:r>
      <w:r w:rsidR="00747F43" w:rsidRPr="00C43812">
        <w:t>Bicarbonate of soda</w:t>
      </w:r>
      <w:r w:rsidR="00260B24" w:rsidRPr="00C43812">
        <w:t xml:space="preserve"> (</w:t>
      </w:r>
      <w:r w:rsidR="00747F43" w:rsidRPr="00C43812">
        <w:t xml:space="preserve">sodium </w:t>
      </w:r>
      <w:r w:rsidR="00EB22B9" w:rsidRPr="00C43812">
        <w:t>bi</w:t>
      </w:r>
      <w:r w:rsidR="00747F43" w:rsidRPr="00C43812">
        <w:t>carbonate</w:t>
      </w:r>
      <w:r w:rsidR="00260B24" w:rsidRPr="00C43812">
        <w:t>)</w:t>
      </w:r>
      <w:r w:rsidR="00747F43" w:rsidRPr="00C43812">
        <w:t xml:space="preserve"> </w:t>
      </w:r>
      <w:r w:rsidR="001463DE" w:rsidRPr="00C43812">
        <w:t>is</w:t>
      </w:r>
      <w:r w:rsidR="00747F43" w:rsidRPr="00C43812">
        <w:t xml:space="preserve"> the alkaline ingredient to look out for. </w:t>
      </w:r>
    </w:p>
    <w:p w14:paraId="137E982A" w14:textId="7A071F01" w:rsidR="005B3F59" w:rsidRDefault="005B3F59" w:rsidP="005B3F59">
      <w:pPr>
        <w:pStyle w:val="RSCH2"/>
      </w:pPr>
      <w:r>
        <w:t>Method</w:t>
      </w:r>
    </w:p>
    <w:p w14:paraId="7979A0F5" w14:textId="77777777" w:rsidR="009C515C" w:rsidRDefault="009C515C" w:rsidP="004B0987">
      <w:pPr>
        <w:pStyle w:val="RSCnumberedlist"/>
        <w:numPr>
          <w:ilvl w:val="0"/>
          <w:numId w:val="28"/>
        </w:numPr>
      </w:pPr>
      <w:bookmarkStart w:id="2" w:name="_Hlk92459185"/>
      <w:r>
        <w:t>Take three test tubes and add approximately 1 cm of water to each.</w:t>
      </w:r>
    </w:p>
    <w:p w14:paraId="4A20E25F" w14:textId="77777777" w:rsidR="009C515C" w:rsidRDefault="009C515C" w:rsidP="009C515C">
      <w:pPr>
        <w:pStyle w:val="RSCnumberedlist"/>
      </w:pPr>
      <w:r>
        <w:t>Add a pea-sized amount of one of the toothpastes to a test tube and mix. Repeat for the other toothpastes in separate test tubes.</w:t>
      </w:r>
    </w:p>
    <w:p w14:paraId="6A992AA7" w14:textId="77777777" w:rsidR="009C515C" w:rsidRDefault="009C515C" w:rsidP="009C515C">
      <w:pPr>
        <w:pStyle w:val="RSCnumberedlist"/>
      </w:pPr>
      <w:r>
        <w:t xml:space="preserve">Add a drop of one toothpaste solution to a well in the dimple tray and add a drop of universal indicator to the well. Note the colour change in your results table. Repeat for the other toothpaste solutions in empty wells. </w:t>
      </w:r>
    </w:p>
    <w:p w14:paraId="11064833" w14:textId="77777777" w:rsidR="009C515C" w:rsidRDefault="009C515C" w:rsidP="009C515C">
      <w:pPr>
        <w:pStyle w:val="RSCnumberedlist"/>
      </w:pPr>
      <w:r>
        <w:lastRenderedPageBreak/>
        <w:t>Add a drop of 0.1 M ethanoic acid to three empty wells and note the colour when a drop of universal indicator is added.</w:t>
      </w:r>
    </w:p>
    <w:p w14:paraId="390C85D9" w14:textId="77777777" w:rsidR="009C515C" w:rsidRDefault="009C515C" w:rsidP="009C515C">
      <w:pPr>
        <w:pStyle w:val="RSCnumberedlist"/>
      </w:pPr>
      <w:r>
        <w:t>Add a drop of the first toothpaste solution to a well with acid. Note any colour change. Repeat for the other two toothpaste solutions.</w:t>
      </w:r>
    </w:p>
    <w:p w14:paraId="3077ADF3" w14:textId="77777777" w:rsidR="009C515C" w:rsidRDefault="009C515C" w:rsidP="009C515C">
      <w:pPr>
        <w:pStyle w:val="RSCnumberedlist"/>
      </w:pPr>
      <w:r>
        <w:t>Complete the table with your results and draw your conclusions.</w:t>
      </w:r>
    </w:p>
    <w:bookmarkEnd w:id="2"/>
    <w:p w14:paraId="0FE7E1CE" w14:textId="73E6F6D5" w:rsidR="00F943F8" w:rsidRPr="007022AC" w:rsidRDefault="005B3F59" w:rsidP="00A91559">
      <w:pPr>
        <w:pStyle w:val="RSCH2"/>
      </w:pPr>
      <w:r>
        <w:t xml:space="preserve">Results </w:t>
      </w:r>
      <w:r w:rsidR="00FB1FBD">
        <w:t xml:space="preserve"> </w:t>
      </w: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1342"/>
        <w:gridCol w:w="2622"/>
        <w:gridCol w:w="2343"/>
        <w:gridCol w:w="2709"/>
      </w:tblGrid>
      <w:tr w:rsidR="005B3F59" w:rsidRPr="005C39AE" w14:paraId="21EEB91E" w14:textId="1C40984D" w:rsidTr="005B3F59">
        <w:trPr>
          <w:trHeight w:val="482"/>
        </w:trPr>
        <w:tc>
          <w:tcPr>
            <w:tcW w:w="1342" w:type="dxa"/>
            <w:shd w:val="clear" w:color="auto" w:fill="E0E88E"/>
            <w:vAlign w:val="center"/>
          </w:tcPr>
          <w:p w14:paraId="45A52E80" w14:textId="77F18F06" w:rsidR="005B3F59" w:rsidRPr="00EB6E94" w:rsidRDefault="005B3F59" w:rsidP="005B3F5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bookmarkStart w:id="3" w:name="_Hlk92457541"/>
            <w:r>
              <w:rPr>
                <w:rFonts w:ascii="Century Gothic" w:hAnsi="Century Gothic"/>
                <w:b/>
                <w:bCs/>
                <w:color w:val="004976"/>
              </w:rPr>
              <w:t>Toothpaste</w:t>
            </w:r>
          </w:p>
        </w:tc>
        <w:tc>
          <w:tcPr>
            <w:tcW w:w="2622" w:type="dxa"/>
            <w:shd w:val="clear" w:color="auto" w:fill="E0E88E"/>
            <w:vAlign w:val="center"/>
          </w:tcPr>
          <w:p w14:paraId="6CF5B844" w14:textId="0F790BEC" w:rsidR="005B3F59" w:rsidRPr="00EB6E94" w:rsidRDefault="005B3F59" w:rsidP="005B3F5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 w:rsidRPr="005B3F59">
              <w:rPr>
                <w:rFonts w:ascii="Century Gothic" w:hAnsi="Century Gothic"/>
                <w:b/>
                <w:bCs/>
                <w:color w:val="004976"/>
              </w:rPr>
              <w:t>Solution colour with indicator, approx pH (instruction 3)</w:t>
            </w:r>
          </w:p>
        </w:tc>
        <w:tc>
          <w:tcPr>
            <w:tcW w:w="2343" w:type="dxa"/>
            <w:shd w:val="clear" w:color="auto" w:fill="E0E88E"/>
            <w:vAlign w:val="center"/>
          </w:tcPr>
          <w:p w14:paraId="29AB0BC1" w14:textId="68F3AFF0" w:rsidR="005B3F59" w:rsidRPr="00EB6E94" w:rsidRDefault="005B3F59" w:rsidP="005B3F59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 w:rsidRPr="005B3F59">
              <w:rPr>
                <w:rFonts w:ascii="Century Gothic" w:hAnsi="Century Gothic"/>
                <w:b/>
                <w:bCs/>
                <w:color w:val="004976"/>
              </w:rPr>
              <w:t>Colour change with acid and approx pH (instructions 4 and 5)</w:t>
            </w:r>
          </w:p>
        </w:tc>
        <w:tc>
          <w:tcPr>
            <w:tcW w:w="2709" w:type="dxa"/>
            <w:shd w:val="clear" w:color="auto" w:fill="E0E88E"/>
            <w:vAlign w:val="center"/>
          </w:tcPr>
          <w:p w14:paraId="751F73F2" w14:textId="226E19ED" w:rsidR="005B3F59" w:rsidRPr="00EB6E94" w:rsidRDefault="005B3F59" w:rsidP="005B3F59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 w:rsidRPr="005B3F59">
              <w:rPr>
                <w:rFonts w:ascii="Century Gothic" w:hAnsi="Century Gothic"/>
                <w:b/>
                <w:bCs/>
                <w:color w:val="004976"/>
              </w:rPr>
              <w:t>Insoluble base, alkali, or neither</w:t>
            </w:r>
          </w:p>
        </w:tc>
      </w:tr>
      <w:tr w:rsidR="00914B45" w:rsidRPr="005C39AE" w14:paraId="46BC5999" w14:textId="52B01109" w:rsidTr="005B3F59">
        <w:trPr>
          <w:trHeight w:val="482"/>
        </w:trPr>
        <w:tc>
          <w:tcPr>
            <w:tcW w:w="1342" w:type="dxa"/>
            <w:vAlign w:val="center"/>
          </w:tcPr>
          <w:p w14:paraId="5E406ABF" w14:textId="5A86A152" w:rsidR="00914B45" w:rsidRPr="005C39AE" w:rsidRDefault="00914B45" w:rsidP="00914B4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5B3F59">
              <w:rPr>
                <w:rFonts w:ascii="Century Gothic" w:hAnsi="Century Gothic"/>
              </w:rPr>
              <w:t>Aquafresh 24h sugar acid protection</w:t>
            </w:r>
          </w:p>
        </w:tc>
        <w:tc>
          <w:tcPr>
            <w:tcW w:w="2622" w:type="dxa"/>
            <w:vAlign w:val="center"/>
          </w:tcPr>
          <w:p w14:paraId="684BF9BA" w14:textId="79E79A7B" w:rsidR="00914B45" w:rsidRPr="005C39AE" w:rsidRDefault="00914B45" w:rsidP="00914B4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Green, 7</w:t>
            </w:r>
          </w:p>
        </w:tc>
        <w:tc>
          <w:tcPr>
            <w:tcW w:w="2343" w:type="dxa"/>
            <w:vAlign w:val="center"/>
          </w:tcPr>
          <w:p w14:paraId="45B83454" w14:textId="451E5CC4" w:rsidR="00914B45" w:rsidRPr="005C39AE" w:rsidRDefault="00914B45" w:rsidP="00914B45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 w:rsidRPr="005B3F59">
              <w:rPr>
                <w:rFonts w:ascii="Century Gothic" w:hAnsi="Century Gothic"/>
              </w:rPr>
              <w:t>No change: red/orange, 3/4</w:t>
            </w:r>
          </w:p>
        </w:tc>
        <w:tc>
          <w:tcPr>
            <w:tcW w:w="2709" w:type="dxa"/>
            <w:vAlign w:val="center"/>
          </w:tcPr>
          <w:p w14:paraId="478A6581" w14:textId="38D99D40" w:rsidR="00914B45" w:rsidRPr="005C39AE" w:rsidRDefault="00914B45" w:rsidP="00914B45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Neither</w:t>
            </w:r>
          </w:p>
        </w:tc>
      </w:tr>
      <w:tr w:rsidR="00914B45" w:rsidRPr="005C39AE" w14:paraId="36E0ADD2" w14:textId="2364DA89" w:rsidTr="005B3F59">
        <w:trPr>
          <w:trHeight w:val="482"/>
        </w:trPr>
        <w:tc>
          <w:tcPr>
            <w:tcW w:w="1342" w:type="dxa"/>
            <w:vAlign w:val="center"/>
          </w:tcPr>
          <w:p w14:paraId="42C62FAE" w14:textId="0F72761F" w:rsidR="00914B45" w:rsidRPr="005C39AE" w:rsidRDefault="00914B45" w:rsidP="00914B4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5B3F59">
              <w:rPr>
                <w:rFonts w:ascii="Century Gothic" w:hAnsi="Century Gothic"/>
              </w:rPr>
              <w:t>Colgate cavity protection</w:t>
            </w:r>
          </w:p>
        </w:tc>
        <w:tc>
          <w:tcPr>
            <w:tcW w:w="2622" w:type="dxa"/>
            <w:vAlign w:val="center"/>
          </w:tcPr>
          <w:p w14:paraId="481FEBAB" w14:textId="352A3CE2" w:rsidR="00914B45" w:rsidRPr="005C39AE" w:rsidRDefault="00914B45" w:rsidP="00914B4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Green, 7</w:t>
            </w:r>
          </w:p>
        </w:tc>
        <w:tc>
          <w:tcPr>
            <w:tcW w:w="2343" w:type="dxa"/>
            <w:vAlign w:val="center"/>
          </w:tcPr>
          <w:p w14:paraId="0BA0E793" w14:textId="306E77BB" w:rsidR="00914B45" w:rsidRPr="005C39AE" w:rsidRDefault="00914B45" w:rsidP="00914B45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 w:rsidRPr="005B3F59">
              <w:rPr>
                <w:rFonts w:ascii="Century Gothic" w:hAnsi="Century Gothic"/>
              </w:rPr>
              <w:t>Red/orange to orange/yellow, 5/6</w:t>
            </w:r>
          </w:p>
        </w:tc>
        <w:tc>
          <w:tcPr>
            <w:tcW w:w="2709" w:type="dxa"/>
            <w:vAlign w:val="center"/>
          </w:tcPr>
          <w:p w14:paraId="6F2076FC" w14:textId="18F3FB4E" w:rsidR="00914B45" w:rsidRPr="005C39AE" w:rsidRDefault="00914B45" w:rsidP="00914B45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Insoluble base</w:t>
            </w:r>
          </w:p>
        </w:tc>
      </w:tr>
      <w:tr w:rsidR="00914B45" w:rsidRPr="005C39AE" w14:paraId="53B26F80" w14:textId="4B818ABF" w:rsidTr="005B3F59">
        <w:trPr>
          <w:trHeight w:val="482"/>
        </w:trPr>
        <w:tc>
          <w:tcPr>
            <w:tcW w:w="1342" w:type="dxa"/>
            <w:vAlign w:val="center"/>
          </w:tcPr>
          <w:p w14:paraId="64792CB3" w14:textId="321E54B3" w:rsidR="00914B45" w:rsidRPr="005C39AE" w:rsidRDefault="004D3F07" w:rsidP="00914B4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Arm and hammer c</w:t>
            </w:r>
            <w:r w:rsidR="00914B45" w:rsidRPr="005B3F59">
              <w:rPr>
                <w:rFonts w:ascii="Century Gothic" w:hAnsi="Century Gothic"/>
              </w:rPr>
              <w:t>harcoal white</w:t>
            </w:r>
          </w:p>
        </w:tc>
        <w:tc>
          <w:tcPr>
            <w:tcW w:w="2622" w:type="dxa"/>
            <w:vAlign w:val="center"/>
          </w:tcPr>
          <w:p w14:paraId="17B4BFF2" w14:textId="11760642" w:rsidR="00914B45" w:rsidRPr="005C39AE" w:rsidRDefault="00914B45" w:rsidP="00914B4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Blue, 9/10</w:t>
            </w:r>
          </w:p>
        </w:tc>
        <w:tc>
          <w:tcPr>
            <w:tcW w:w="2343" w:type="dxa"/>
            <w:vAlign w:val="center"/>
          </w:tcPr>
          <w:p w14:paraId="0C34767E" w14:textId="77DADC4D" w:rsidR="00914B45" w:rsidRPr="005C39AE" w:rsidRDefault="00914B45" w:rsidP="00914B45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 w:rsidRPr="005B3F59">
              <w:rPr>
                <w:rFonts w:ascii="Century Gothic" w:hAnsi="Century Gothic"/>
              </w:rPr>
              <w:t>Red/orange to yellow/green, 6/7</w:t>
            </w:r>
          </w:p>
        </w:tc>
        <w:tc>
          <w:tcPr>
            <w:tcW w:w="2709" w:type="dxa"/>
            <w:vAlign w:val="center"/>
          </w:tcPr>
          <w:p w14:paraId="43B49C20" w14:textId="22427D5F" w:rsidR="00914B45" w:rsidRPr="005C39AE" w:rsidRDefault="00914B45" w:rsidP="00914B45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Alkali</w:t>
            </w:r>
          </w:p>
        </w:tc>
      </w:tr>
    </w:tbl>
    <w:bookmarkEnd w:id="3"/>
    <w:p w14:paraId="760FD0F1" w14:textId="2D241584" w:rsidR="00E35FA4" w:rsidRDefault="002868E7" w:rsidP="005B3F59">
      <w:pPr>
        <w:pStyle w:val="RSCH2"/>
      </w:pPr>
      <w:r>
        <w:t>Answers</w:t>
      </w:r>
    </w:p>
    <w:p w14:paraId="38442864" w14:textId="2F7ADAF3" w:rsidR="00A91559" w:rsidRDefault="00A91559" w:rsidP="00A91559">
      <w:pPr>
        <w:pStyle w:val="RSCBasictext"/>
      </w:pPr>
      <w:r>
        <w:t>Some of these answers should be adapted if you used other toothpaste brands.</w:t>
      </w:r>
    </w:p>
    <w:bookmarkEnd w:id="0"/>
    <w:p w14:paraId="66A0A825" w14:textId="4B338D41" w:rsidR="00F6059A" w:rsidRDefault="00D237F9" w:rsidP="00F6059A">
      <w:pPr>
        <w:pStyle w:val="RSCnumberedlist"/>
        <w:numPr>
          <w:ilvl w:val="0"/>
          <w:numId w:val="26"/>
        </w:numPr>
      </w:pPr>
      <w:r>
        <w:t>The</w:t>
      </w:r>
      <w:r w:rsidR="00F6059A">
        <w:t xml:space="preserve"> pH</w:t>
      </w:r>
      <w:r>
        <w:t xml:space="preserve"> of</w:t>
      </w:r>
      <w:r w:rsidR="00F6059A">
        <w:t xml:space="preserve"> 0.1 M ethanoic a</w:t>
      </w:r>
      <w:r w:rsidR="00F6059A" w:rsidRPr="00D237F9">
        <w:t>cid</w:t>
      </w:r>
      <w:r w:rsidRPr="00D237F9">
        <w:t xml:space="preserve"> is a</w:t>
      </w:r>
      <w:r w:rsidR="00F6059A" w:rsidRPr="00D237F9">
        <w:t>bout 3</w:t>
      </w:r>
      <w:r w:rsidRPr="00D237F9">
        <w:t>.</w:t>
      </w:r>
    </w:p>
    <w:p w14:paraId="3C5F8EEC" w14:textId="377BB79F" w:rsidR="00F6059A" w:rsidRDefault="00D237F9" w:rsidP="00F6059A">
      <w:pPr>
        <w:pStyle w:val="RSCnumberedlist"/>
        <w:numPr>
          <w:ilvl w:val="0"/>
          <w:numId w:val="26"/>
        </w:numPr>
      </w:pPr>
      <w:r>
        <w:t>E</w:t>
      </w:r>
      <w:r w:rsidR="00F6059A">
        <w:t xml:space="preserve">thanoic acid </w:t>
      </w:r>
      <w:r>
        <w:t>is being used as it is a preservative in some foods.</w:t>
      </w:r>
    </w:p>
    <w:p w14:paraId="38FADAC3" w14:textId="0C69E44B" w:rsidR="00F6059A" w:rsidRPr="00D237F9" w:rsidRDefault="00F6059A" w:rsidP="00F6059A">
      <w:pPr>
        <w:pStyle w:val="RSCnumberedlist"/>
        <w:numPr>
          <w:ilvl w:val="0"/>
          <w:numId w:val="26"/>
        </w:numPr>
      </w:pPr>
      <w:r w:rsidRPr="00D237F9">
        <w:t>Any fizzy drink, tomato ketchup (although the colour might inhibit using indicators), citrus fruits or yoghurt</w:t>
      </w:r>
      <w:r w:rsidR="00D237F9" w:rsidRPr="00D237F9">
        <w:t xml:space="preserve"> could also be used. </w:t>
      </w:r>
    </w:p>
    <w:p w14:paraId="0AA73B51" w14:textId="66E43F7F" w:rsidR="00F6059A" w:rsidRPr="00D237F9" w:rsidRDefault="00F6059A" w:rsidP="00F6059A">
      <w:pPr>
        <w:pStyle w:val="RSCnumberedlist"/>
        <w:numPr>
          <w:ilvl w:val="0"/>
          <w:numId w:val="26"/>
        </w:numPr>
      </w:pPr>
      <w:r w:rsidRPr="00D237F9">
        <w:t>Acids are corrosive and contribute to tooth erosion and decay</w:t>
      </w:r>
      <w:r w:rsidR="00D237F9">
        <w:t xml:space="preserve">, </w:t>
      </w:r>
      <w:r w:rsidR="00D237F9" w:rsidRPr="00D237F9">
        <w:t>so it is helpful if toothpastes neutralise mouth acid.</w:t>
      </w:r>
    </w:p>
    <w:p w14:paraId="4C9B490C" w14:textId="7D50DD62" w:rsidR="00F6059A" w:rsidRPr="00D237F9" w:rsidRDefault="00F6059A" w:rsidP="00F6059A">
      <w:pPr>
        <w:pStyle w:val="RSCnumberedlist"/>
        <w:numPr>
          <w:ilvl w:val="0"/>
          <w:numId w:val="26"/>
        </w:numPr>
      </w:pPr>
      <w:r w:rsidRPr="00D237F9">
        <w:t>Colgate and Charcoal white</w:t>
      </w:r>
      <w:r w:rsidR="00D237F9" w:rsidRPr="00D237F9">
        <w:t xml:space="preserve"> can neutralise mouth acid.</w:t>
      </w:r>
    </w:p>
    <w:p w14:paraId="7C4E3B28" w14:textId="7931F756" w:rsidR="00F6059A" w:rsidRPr="00D237F9" w:rsidRDefault="00F6059A" w:rsidP="00F6059A">
      <w:pPr>
        <w:pStyle w:val="RSCnumberedlist"/>
        <w:numPr>
          <w:ilvl w:val="0"/>
          <w:numId w:val="26"/>
        </w:numPr>
      </w:pPr>
      <w:r w:rsidRPr="00D237F9">
        <w:t>Charcoal white</w:t>
      </w:r>
      <w:r w:rsidR="00D237F9" w:rsidRPr="00D237F9">
        <w:t xml:space="preserve"> could result in an alkaline mouth cavity</w:t>
      </w:r>
      <w:r w:rsidR="00D237F9">
        <w:t>.</w:t>
      </w:r>
    </w:p>
    <w:p w14:paraId="604059A7" w14:textId="523C1F62" w:rsidR="00F6059A" w:rsidRPr="002868E7" w:rsidRDefault="00F6059A" w:rsidP="00F6059A">
      <w:pPr>
        <w:pStyle w:val="RSCnumberedlist"/>
        <w:numPr>
          <w:ilvl w:val="0"/>
          <w:numId w:val="26"/>
        </w:numPr>
      </w:pPr>
      <w:r w:rsidRPr="002868E7">
        <w:t>Colgate cavity protection</w:t>
      </w:r>
      <w:r w:rsidR="002868E7" w:rsidRPr="002868E7">
        <w:t xml:space="preserve"> would be best for mouth cavity acid neutralisation</w:t>
      </w:r>
      <w:r w:rsidRPr="002868E7">
        <w:t xml:space="preserve"> as it will neutralise any acid without leaving an alkaline mouth cavity.</w:t>
      </w:r>
    </w:p>
    <w:p w14:paraId="1FBC39B5" w14:textId="3FDB2851" w:rsidR="00F6059A" w:rsidRPr="002868E7" w:rsidRDefault="00F6059A" w:rsidP="00F6059A">
      <w:pPr>
        <w:pStyle w:val="RSCnumberedlist"/>
        <w:numPr>
          <w:ilvl w:val="0"/>
          <w:numId w:val="26"/>
        </w:numPr>
      </w:pPr>
      <w:r w:rsidRPr="002868E7">
        <w:t>Dilution by rinsing with water</w:t>
      </w:r>
      <w:r w:rsidR="002868E7" w:rsidRPr="002868E7">
        <w:t xml:space="preserve"> is an</w:t>
      </w:r>
      <w:r w:rsidR="00CD5BBA">
        <w:t xml:space="preserve"> alternative</w:t>
      </w:r>
      <w:r w:rsidR="002868E7" w:rsidRPr="002868E7">
        <w:t xml:space="preserve"> way of </w:t>
      </w:r>
      <w:r w:rsidR="007669C4">
        <w:t>rectifying</w:t>
      </w:r>
      <w:r w:rsidR="002868E7" w:rsidRPr="002868E7">
        <w:t xml:space="preserve"> mouth cavity changes in pH.</w:t>
      </w:r>
    </w:p>
    <w:p w14:paraId="03B6DD03" w14:textId="397DB061" w:rsidR="005739C1" w:rsidRPr="00C27046" w:rsidRDefault="00C27046" w:rsidP="005B3F59">
      <w:pPr>
        <w:pStyle w:val="RSCnumberedlist"/>
        <w:numPr>
          <w:ilvl w:val="0"/>
          <w:numId w:val="26"/>
        </w:numPr>
      </w:pPr>
      <w:r w:rsidRPr="00C27046">
        <w:t>Use this question to see whether your learners can compare basic</w:t>
      </w:r>
      <w:r w:rsidR="00E12E10">
        <w:t xml:space="preserve">, </w:t>
      </w:r>
      <w:proofErr w:type="gramStart"/>
      <w:r w:rsidR="00E12E10">
        <w:t>alkaline</w:t>
      </w:r>
      <w:proofErr w:type="gramEnd"/>
      <w:r w:rsidRPr="00C27046">
        <w:t xml:space="preserve"> and neutral toothpastes and justify their answer using the results of the practical and their understanding of neutralisation reactions. </w:t>
      </w:r>
    </w:p>
    <w:sectPr w:rsidR="005739C1" w:rsidRPr="00C27046" w:rsidSect="005C39AE">
      <w:headerReference w:type="default" r:id="rId14"/>
      <w:footerReference w:type="default" r:id="rId1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AA5DC" w14:textId="77777777" w:rsidR="00F81BD0" w:rsidRDefault="00F81BD0" w:rsidP="00C51F51">
      <w:r>
        <w:separator/>
      </w:r>
    </w:p>
  </w:endnote>
  <w:endnote w:type="continuationSeparator" w:id="0">
    <w:p w14:paraId="17D39723" w14:textId="77777777" w:rsidR="00F81BD0" w:rsidRDefault="00F81BD0" w:rsidP="00C51F51">
      <w:r>
        <w:continuationSeparator/>
      </w:r>
    </w:p>
  </w:endnote>
  <w:endnote w:type="continuationNotice" w:id="1">
    <w:p w14:paraId="31C24436" w14:textId="77777777" w:rsidR="00F81BD0" w:rsidRDefault="00F81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6757A8" w:rsidRDefault="006757A8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499554E0" w:rsidR="00020F33" w:rsidRPr="006757A8" w:rsidRDefault="006757A8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C7C80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D8A61" w14:textId="77777777" w:rsidR="00F81BD0" w:rsidRDefault="00F81BD0" w:rsidP="00C51F51">
      <w:r>
        <w:separator/>
      </w:r>
    </w:p>
  </w:footnote>
  <w:footnote w:type="continuationSeparator" w:id="0">
    <w:p w14:paraId="21E517A8" w14:textId="77777777" w:rsidR="00F81BD0" w:rsidRDefault="00F81BD0" w:rsidP="00C51F51">
      <w:r>
        <w:continuationSeparator/>
      </w:r>
    </w:p>
  </w:footnote>
  <w:footnote w:type="continuationNotice" w:id="1">
    <w:p w14:paraId="03E93331" w14:textId="77777777" w:rsidR="00F81BD0" w:rsidRDefault="00F81B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34628" w14:textId="6D57D2F4" w:rsidR="00B46E49" w:rsidRDefault="00F6059A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014E5B1" wp14:editId="1E98F766">
          <wp:simplePos x="0" y="0"/>
          <wp:positionH relativeFrom="column">
            <wp:posOffset>-539750</wp:posOffset>
          </wp:positionH>
          <wp:positionV relativeFrom="paragraph">
            <wp:posOffset>37465</wp:posOffset>
          </wp:positionV>
          <wp:extent cx="1788795" cy="356235"/>
          <wp:effectExtent l="0" t="0" r="1905" b="5715"/>
          <wp:wrapThrough wrapText="bothSides">
            <wp:wrapPolygon edited="0">
              <wp:start x="460" y="0"/>
              <wp:lineTo x="0" y="2310"/>
              <wp:lineTo x="0" y="17326"/>
              <wp:lineTo x="460" y="20791"/>
              <wp:lineTo x="20933" y="20791"/>
              <wp:lineTo x="21393" y="17326"/>
              <wp:lineTo x="21393" y="3465"/>
              <wp:lineTo x="20933" y="0"/>
              <wp:lineTo x="460" y="0"/>
            </wp:wrapPolygon>
          </wp:wrapThrough>
          <wp:docPr id="4" name="Picture 4" descr="A green and white sign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95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0569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24CA8392" wp14:editId="5D44BEBE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F59">
      <w:rPr>
        <w:rFonts w:ascii="Century Gothic" w:hAnsi="Century Gothic"/>
        <w:b/>
        <w:bCs/>
        <w:color w:val="006F62"/>
        <w:sz w:val="30"/>
        <w:szCs w:val="30"/>
      </w:rPr>
      <w:t>Practical</w:t>
    </w:r>
    <w:r w:rsidR="0080098D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D57AE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D57AEC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F5442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5C5F6FF" w14:textId="59C47308" w:rsidR="0080098D" w:rsidRPr="009F18E6" w:rsidRDefault="0080098D" w:rsidP="000B003A">
    <w:pPr>
      <w:pStyle w:val="RSCH3"/>
      <w:spacing w:before="0" w:after="0"/>
      <w:ind w:right="-850"/>
      <w:jc w:val="right"/>
      <w:rPr>
        <w:sz w:val="18"/>
        <w:szCs w:val="18"/>
      </w:rPr>
    </w:pPr>
    <w:r w:rsidRPr="009F18E6">
      <w:rPr>
        <w:color w:val="000000" w:themeColor="text1"/>
        <w:sz w:val="18"/>
        <w:szCs w:val="18"/>
      </w:rPr>
      <w:t xml:space="preserve">This resource </w:t>
    </w:r>
    <w:r w:rsidR="00C91017">
      <w:rPr>
        <w:color w:val="000000" w:themeColor="text1"/>
        <w:sz w:val="18"/>
        <w:szCs w:val="18"/>
      </w:rPr>
      <w:t>can be downloaded from</w:t>
    </w:r>
    <w:r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9C515C" w:rsidRPr="009C515C">
        <w:rPr>
          <w:rStyle w:val="Hyperlink"/>
          <w:color w:val="006F62"/>
          <w:sz w:val="18"/>
          <w:szCs w:val="18"/>
        </w:rPr>
        <w:t>https://rsc.li/3FbP5Lb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64BCE036"/>
    <w:lvl w:ilvl="0" w:tplc="EF588BB0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5"/>
    <w:lvlOverride w:ilvl="0">
      <w:startOverride w:val="1"/>
    </w:lvlOverride>
  </w:num>
  <w:num w:numId="10">
    <w:abstractNumId w:val="6"/>
  </w:num>
  <w:num w:numId="11">
    <w:abstractNumId w:val="6"/>
    <w:lvlOverride w:ilvl="0">
      <w:startOverride w:val="2"/>
    </w:lvlOverride>
  </w:num>
  <w:num w:numId="12">
    <w:abstractNumId w:val="11"/>
  </w:num>
  <w:num w:numId="13">
    <w:abstractNumId w:val="16"/>
  </w:num>
  <w:num w:numId="14">
    <w:abstractNumId w:val="6"/>
    <w:lvlOverride w:ilvl="0">
      <w:startOverride w:val="2"/>
    </w:lvlOverride>
  </w:num>
  <w:num w:numId="15">
    <w:abstractNumId w:val="5"/>
    <w:lvlOverride w:ilvl="0">
      <w:startOverride w:val="1"/>
    </w:lvlOverride>
  </w:num>
  <w:num w:numId="16">
    <w:abstractNumId w:val="15"/>
  </w:num>
  <w:num w:numId="17">
    <w:abstractNumId w:val="2"/>
  </w:num>
  <w:num w:numId="18">
    <w:abstractNumId w:val="1"/>
  </w:num>
  <w:num w:numId="19">
    <w:abstractNumId w:val="8"/>
  </w:num>
  <w:num w:numId="20">
    <w:abstractNumId w:val="14"/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3"/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06E6"/>
    <w:rsid w:val="0000131A"/>
    <w:rsid w:val="00001747"/>
    <w:rsid w:val="00001AFC"/>
    <w:rsid w:val="00002219"/>
    <w:rsid w:val="00002602"/>
    <w:rsid w:val="0000279D"/>
    <w:rsid w:val="00003980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4C93"/>
    <w:rsid w:val="00025A47"/>
    <w:rsid w:val="00025E75"/>
    <w:rsid w:val="0002756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3F11"/>
    <w:rsid w:val="00047323"/>
    <w:rsid w:val="00051BF0"/>
    <w:rsid w:val="000520B6"/>
    <w:rsid w:val="00052523"/>
    <w:rsid w:val="00052F81"/>
    <w:rsid w:val="000548AA"/>
    <w:rsid w:val="000553A0"/>
    <w:rsid w:val="00062222"/>
    <w:rsid w:val="00067B49"/>
    <w:rsid w:val="00067BDA"/>
    <w:rsid w:val="00070BCD"/>
    <w:rsid w:val="0007172C"/>
    <w:rsid w:val="00071874"/>
    <w:rsid w:val="000730BB"/>
    <w:rsid w:val="00076810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A787F"/>
    <w:rsid w:val="000B003A"/>
    <w:rsid w:val="000B11A8"/>
    <w:rsid w:val="000B1952"/>
    <w:rsid w:val="000B3DA6"/>
    <w:rsid w:val="000B6333"/>
    <w:rsid w:val="000C3EA9"/>
    <w:rsid w:val="000C4533"/>
    <w:rsid w:val="000C4E88"/>
    <w:rsid w:val="000C54D2"/>
    <w:rsid w:val="000C6348"/>
    <w:rsid w:val="000C6C91"/>
    <w:rsid w:val="000C735F"/>
    <w:rsid w:val="000D0774"/>
    <w:rsid w:val="000D13A7"/>
    <w:rsid w:val="000D3E75"/>
    <w:rsid w:val="000D4202"/>
    <w:rsid w:val="000D7C33"/>
    <w:rsid w:val="000E1286"/>
    <w:rsid w:val="000E4BDA"/>
    <w:rsid w:val="000E5C03"/>
    <w:rsid w:val="000E6162"/>
    <w:rsid w:val="000E72E6"/>
    <w:rsid w:val="000F1532"/>
    <w:rsid w:val="000F395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190"/>
    <w:rsid w:val="0011632E"/>
    <w:rsid w:val="001228EC"/>
    <w:rsid w:val="00124DE7"/>
    <w:rsid w:val="00125301"/>
    <w:rsid w:val="0012670F"/>
    <w:rsid w:val="001301AF"/>
    <w:rsid w:val="00131044"/>
    <w:rsid w:val="001315CA"/>
    <w:rsid w:val="00133888"/>
    <w:rsid w:val="00133A3E"/>
    <w:rsid w:val="0013731C"/>
    <w:rsid w:val="00140B7E"/>
    <w:rsid w:val="0014288B"/>
    <w:rsid w:val="00144CDA"/>
    <w:rsid w:val="001463DE"/>
    <w:rsid w:val="00146B5C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962F5"/>
    <w:rsid w:val="001968DC"/>
    <w:rsid w:val="00196EFF"/>
    <w:rsid w:val="001A09E1"/>
    <w:rsid w:val="001A251E"/>
    <w:rsid w:val="001A27D9"/>
    <w:rsid w:val="001A2F7C"/>
    <w:rsid w:val="001A5E39"/>
    <w:rsid w:val="001A7810"/>
    <w:rsid w:val="001B1555"/>
    <w:rsid w:val="001B2292"/>
    <w:rsid w:val="001B3805"/>
    <w:rsid w:val="001B4A8E"/>
    <w:rsid w:val="001B5474"/>
    <w:rsid w:val="001C23F6"/>
    <w:rsid w:val="001C290F"/>
    <w:rsid w:val="001C6470"/>
    <w:rsid w:val="001D165A"/>
    <w:rsid w:val="001D57A7"/>
    <w:rsid w:val="001D7B9F"/>
    <w:rsid w:val="001E0A58"/>
    <w:rsid w:val="001E2BA3"/>
    <w:rsid w:val="001E2DA2"/>
    <w:rsid w:val="001E5C94"/>
    <w:rsid w:val="001F0451"/>
    <w:rsid w:val="001F2C34"/>
    <w:rsid w:val="001F5394"/>
    <w:rsid w:val="001F5691"/>
    <w:rsid w:val="001F73C1"/>
    <w:rsid w:val="00200439"/>
    <w:rsid w:val="0020188D"/>
    <w:rsid w:val="0020257D"/>
    <w:rsid w:val="00202F49"/>
    <w:rsid w:val="00203039"/>
    <w:rsid w:val="00204957"/>
    <w:rsid w:val="002063BF"/>
    <w:rsid w:val="002073C9"/>
    <w:rsid w:val="0020745D"/>
    <w:rsid w:val="0021063E"/>
    <w:rsid w:val="002118A2"/>
    <w:rsid w:val="002119DF"/>
    <w:rsid w:val="0021462B"/>
    <w:rsid w:val="0021490E"/>
    <w:rsid w:val="00215CA2"/>
    <w:rsid w:val="00215F46"/>
    <w:rsid w:val="00217AFB"/>
    <w:rsid w:val="0022129F"/>
    <w:rsid w:val="00221BC3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3DE6"/>
    <w:rsid w:val="0024403F"/>
    <w:rsid w:val="002468BF"/>
    <w:rsid w:val="00246DA9"/>
    <w:rsid w:val="00247F5F"/>
    <w:rsid w:val="002510C3"/>
    <w:rsid w:val="002523D2"/>
    <w:rsid w:val="0025661E"/>
    <w:rsid w:val="00260B24"/>
    <w:rsid w:val="00267279"/>
    <w:rsid w:val="002716EA"/>
    <w:rsid w:val="002723D5"/>
    <w:rsid w:val="00276F81"/>
    <w:rsid w:val="00281D7B"/>
    <w:rsid w:val="00283107"/>
    <w:rsid w:val="00283DFC"/>
    <w:rsid w:val="00284615"/>
    <w:rsid w:val="0028615D"/>
    <w:rsid w:val="002868E7"/>
    <w:rsid w:val="00293322"/>
    <w:rsid w:val="002944CA"/>
    <w:rsid w:val="00295CA1"/>
    <w:rsid w:val="00296F91"/>
    <w:rsid w:val="002975B4"/>
    <w:rsid w:val="002A3B57"/>
    <w:rsid w:val="002A4AD8"/>
    <w:rsid w:val="002A5FE5"/>
    <w:rsid w:val="002A6E5A"/>
    <w:rsid w:val="002A6FDE"/>
    <w:rsid w:val="002B28FD"/>
    <w:rsid w:val="002B4F41"/>
    <w:rsid w:val="002B5206"/>
    <w:rsid w:val="002B5EB5"/>
    <w:rsid w:val="002C004B"/>
    <w:rsid w:val="002C0F1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D75C1"/>
    <w:rsid w:val="002E06BD"/>
    <w:rsid w:val="002E34B2"/>
    <w:rsid w:val="002E451D"/>
    <w:rsid w:val="002E48D4"/>
    <w:rsid w:val="002E5407"/>
    <w:rsid w:val="002E56CF"/>
    <w:rsid w:val="002F0864"/>
    <w:rsid w:val="002F2F8F"/>
    <w:rsid w:val="002F7189"/>
    <w:rsid w:val="00303E06"/>
    <w:rsid w:val="00305D45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2D9C"/>
    <w:rsid w:val="003A5C87"/>
    <w:rsid w:val="003B120F"/>
    <w:rsid w:val="003B1737"/>
    <w:rsid w:val="003B17F2"/>
    <w:rsid w:val="003B1B2A"/>
    <w:rsid w:val="003B2F5D"/>
    <w:rsid w:val="003B3284"/>
    <w:rsid w:val="003B431D"/>
    <w:rsid w:val="003C1583"/>
    <w:rsid w:val="003C19FC"/>
    <w:rsid w:val="003C1F78"/>
    <w:rsid w:val="003C4116"/>
    <w:rsid w:val="003C5B91"/>
    <w:rsid w:val="003D07A0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2EF9"/>
    <w:rsid w:val="00403673"/>
    <w:rsid w:val="0041088B"/>
    <w:rsid w:val="00411F2B"/>
    <w:rsid w:val="00412411"/>
    <w:rsid w:val="00414F6D"/>
    <w:rsid w:val="004156B6"/>
    <w:rsid w:val="00415D5A"/>
    <w:rsid w:val="004168F5"/>
    <w:rsid w:val="00417257"/>
    <w:rsid w:val="00420029"/>
    <w:rsid w:val="00421BF6"/>
    <w:rsid w:val="004245D9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37994"/>
    <w:rsid w:val="00440A92"/>
    <w:rsid w:val="004421D1"/>
    <w:rsid w:val="00445A42"/>
    <w:rsid w:val="004463A0"/>
    <w:rsid w:val="00446DAA"/>
    <w:rsid w:val="00447805"/>
    <w:rsid w:val="00451A34"/>
    <w:rsid w:val="0045390D"/>
    <w:rsid w:val="0045569A"/>
    <w:rsid w:val="00457C58"/>
    <w:rsid w:val="0046032D"/>
    <w:rsid w:val="00462C62"/>
    <w:rsid w:val="004647DD"/>
    <w:rsid w:val="00464DEB"/>
    <w:rsid w:val="00466E24"/>
    <w:rsid w:val="004706CE"/>
    <w:rsid w:val="00470A3A"/>
    <w:rsid w:val="0047293A"/>
    <w:rsid w:val="00472E80"/>
    <w:rsid w:val="0047421A"/>
    <w:rsid w:val="00477C53"/>
    <w:rsid w:val="00480469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6E9"/>
    <w:rsid w:val="00495705"/>
    <w:rsid w:val="00496978"/>
    <w:rsid w:val="00496DD4"/>
    <w:rsid w:val="0049734A"/>
    <w:rsid w:val="004A0535"/>
    <w:rsid w:val="004A09F3"/>
    <w:rsid w:val="004A369C"/>
    <w:rsid w:val="004A5C3E"/>
    <w:rsid w:val="004B0987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3F07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1A52"/>
    <w:rsid w:val="00522B05"/>
    <w:rsid w:val="005230AF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473E5"/>
    <w:rsid w:val="00551D55"/>
    <w:rsid w:val="00554FEE"/>
    <w:rsid w:val="00560819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BAA"/>
    <w:rsid w:val="005A5D25"/>
    <w:rsid w:val="005B18A6"/>
    <w:rsid w:val="005B373D"/>
    <w:rsid w:val="005B3BA5"/>
    <w:rsid w:val="005B3F59"/>
    <w:rsid w:val="005B55F2"/>
    <w:rsid w:val="005C22B9"/>
    <w:rsid w:val="005C394C"/>
    <w:rsid w:val="005C39AE"/>
    <w:rsid w:val="005C703B"/>
    <w:rsid w:val="005D0AD3"/>
    <w:rsid w:val="005D0DB0"/>
    <w:rsid w:val="005D1E00"/>
    <w:rsid w:val="005D69D4"/>
    <w:rsid w:val="005D6A71"/>
    <w:rsid w:val="005E0657"/>
    <w:rsid w:val="005E2FB2"/>
    <w:rsid w:val="005E7EAA"/>
    <w:rsid w:val="005F39DD"/>
    <w:rsid w:val="005F6D0F"/>
    <w:rsid w:val="006056F3"/>
    <w:rsid w:val="006061B5"/>
    <w:rsid w:val="0060621C"/>
    <w:rsid w:val="006078DB"/>
    <w:rsid w:val="00611158"/>
    <w:rsid w:val="006148BB"/>
    <w:rsid w:val="006205A7"/>
    <w:rsid w:val="00620D37"/>
    <w:rsid w:val="006216C4"/>
    <w:rsid w:val="0062364C"/>
    <w:rsid w:val="00624FB4"/>
    <w:rsid w:val="00625EAF"/>
    <w:rsid w:val="00626E9E"/>
    <w:rsid w:val="00631F0B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067B"/>
    <w:rsid w:val="006836B9"/>
    <w:rsid w:val="00684E0F"/>
    <w:rsid w:val="00686A5D"/>
    <w:rsid w:val="006920FC"/>
    <w:rsid w:val="006928B6"/>
    <w:rsid w:val="00692C15"/>
    <w:rsid w:val="00693561"/>
    <w:rsid w:val="0069373A"/>
    <w:rsid w:val="00693DAF"/>
    <w:rsid w:val="006942D4"/>
    <w:rsid w:val="0069432D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A72FC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16DE"/>
    <w:rsid w:val="007223CF"/>
    <w:rsid w:val="00722F2C"/>
    <w:rsid w:val="00723122"/>
    <w:rsid w:val="00731578"/>
    <w:rsid w:val="007337AE"/>
    <w:rsid w:val="00736435"/>
    <w:rsid w:val="00742794"/>
    <w:rsid w:val="00742E84"/>
    <w:rsid w:val="00745E04"/>
    <w:rsid w:val="00747F43"/>
    <w:rsid w:val="00751C1F"/>
    <w:rsid w:val="00752CBB"/>
    <w:rsid w:val="00753940"/>
    <w:rsid w:val="00754A45"/>
    <w:rsid w:val="00756B12"/>
    <w:rsid w:val="00756D9D"/>
    <w:rsid w:val="00760DE6"/>
    <w:rsid w:val="00761ED3"/>
    <w:rsid w:val="00763238"/>
    <w:rsid w:val="00763DA3"/>
    <w:rsid w:val="007669C4"/>
    <w:rsid w:val="007730DE"/>
    <w:rsid w:val="00775411"/>
    <w:rsid w:val="0077545E"/>
    <w:rsid w:val="00776C72"/>
    <w:rsid w:val="00776FB7"/>
    <w:rsid w:val="007777A2"/>
    <w:rsid w:val="00783478"/>
    <w:rsid w:val="00786966"/>
    <w:rsid w:val="00792E7B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1F61"/>
    <w:rsid w:val="007B34C5"/>
    <w:rsid w:val="007B6138"/>
    <w:rsid w:val="007C0783"/>
    <w:rsid w:val="007C0B91"/>
    <w:rsid w:val="007C55A5"/>
    <w:rsid w:val="007C6931"/>
    <w:rsid w:val="007D0603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48B0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44E6D"/>
    <w:rsid w:val="008508DE"/>
    <w:rsid w:val="00851935"/>
    <w:rsid w:val="0085627D"/>
    <w:rsid w:val="008579F0"/>
    <w:rsid w:val="008618F3"/>
    <w:rsid w:val="00861DB3"/>
    <w:rsid w:val="00863088"/>
    <w:rsid w:val="0086417A"/>
    <w:rsid w:val="0086581C"/>
    <w:rsid w:val="00871F43"/>
    <w:rsid w:val="00873024"/>
    <w:rsid w:val="00873625"/>
    <w:rsid w:val="00881419"/>
    <w:rsid w:val="00882CA3"/>
    <w:rsid w:val="00883973"/>
    <w:rsid w:val="00884C77"/>
    <w:rsid w:val="0088712A"/>
    <w:rsid w:val="00892739"/>
    <w:rsid w:val="008940CB"/>
    <w:rsid w:val="008960EA"/>
    <w:rsid w:val="008969E1"/>
    <w:rsid w:val="008A6BC0"/>
    <w:rsid w:val="008B0123"/>
    <w:rsid w:val="008B01BB"/>
    <w:rsid w:val="008B4593"/>
    <w:rsid w:val="008B62E8"/>
    <w:rsid w:val="008B67FE"/>
    <w:rsid w:val="008B6EC7"/>
    <w:rsid w:val="008B72CB"/>
    <w:rsid w:val="008B7B0C"/>
    <w:rsid w:val="008C13BC"/>
    <w:rsid w:val="008C37A8"/>
    <w:rsid w:val="008C42DC"/>
    <w:rsid w:val="008D00C8"/>
    <w:rsid w:val="008D15AE"/>
    <w:rsid w:val="008D1AC1"/>
    <w:rsid w:val="008D2E46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1ACD"/>
    <w:rsid w:val="008F33FA"/>
    <w:rsid w:val="008F5CAF"/>
    <w:rsid w:val="008F5E94"/>
    <w:rsid w:val="008F7020"/>
    <w:rsid w:val="009005E2"/>
    <w:rsid w:val="00906430"/>
    <w:rsid w:val="009069C6"/>
    <w:rsid w:val="00906BF6"/>
    <w:rsid w:val="00907671"/>
    <w:rsid w:val="00907BE0"/>
    <w:rsid w:val="00911E97"/>
    <w:rsid w:val="00914B45"/>
    <w:rsid w:val="009159E7"/>
    <w:rsid w:val="00916660"/>
    <w:rsid w:val="00916DC6"/>
    <w:rsid w:val="00917A85"/>
    <w:rsid w:val="00922487"/>
    <w:rsid w:val="00923149"/>
    <w:rsid w:val="00923E17"/>
    <w:rsid w:val="009240AA"/>
    <w:rsid w:val="0092772E"/>
    <w:rsid w:val="00930997"/>
    <w:rsid w:val="0093131C"/>
    <w:rsid w:val="00933473"/>
    <w:rsid w:val="009341E3"/>
    <w:rsid w:val="00934CCA"/>
    <w:rsid w:val="00935573"/>
    <w:rsid w:val="0093619A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0C8E"/>
    <w:rsid w:val="009712BA"/>
    <w:rsid w:val="00972EF7"/>
    <w:rsid w:val="00973999"/>
    <w:rsid w:val="0097428A"/>
    <w:rsid w:val="00977F7E"/>
    <w:rsid w:val="009816ED"/>
    <w:rsid w:val="00985810"/>
    <w:rsid w:val="00985C41"/>
    <w:rsid w:val="00991AFD"/>
    <w:rsid w:val="00993480"/>
    <w:rsid w:val="009A0229"/>
    <w:rsid w:val="009A2556"/>
    <w:rsid w:val="009A342C"/>
    <w:rsid w:val="009A5CFE"/>
    <w:rsid w:val="009A6BE3"/>
    <w:rsid w:val="009B1035"/>
    <w:rsid w:val="009B1546"/>
    <w:rsid w:val="009B23E8"/>
    <w:rsid w:val="009B6E94"/>
    <w:rsid w:val="009C1359"/>
    <w:rsid w:val="009C515C"/>
    <w:rsid w:val="009C61BF"/>
    <w:rsid w:val="009C724E"/>
    <w:rsid w:val="009C75FC"/>
    <w:rsid w:val="009D2085"/>
    <w:rsid w:val="009D2384"/>
    <w:rsid w:val="009D41B1"/>
    <w:rsid w:val="009D74BA"/>
    <w:rsid w:val="009E01F6"/>
    <w:rsid w:val="009E17B6"/>
    <w:rsid w:val="009E2F76"/>
    <w:rsid w:val="009E6C29"/>
    <w:rsid w:val="009E786E"/>
    <w:rsid w:val="009F0460"/>
    <w:rsid w:val="009F18E6"/>
    <w:rsid w:val="009F3D94"/>
    <w:rsid w:val="009F5EC7"/>
    <w:rsid w:val="00A03ADA"/>
    <w:rsid w:val="00A0567D"/>
    <w:rsid w:val="00A06224"/>
    <w:rsid w:val="00A07680"/>
    <w:rsid w:val="00A125D9"/>
    <w:rsid w:val="00A14CEA"/>
    <w:rsid w:val="00A15071"/>
    <w:rsid w:val="00A161BC"/>
    <w:rsid w:val="00A16933"/>
    <w:rsid w:val="00A16B12"/>
    <w:rsid w:val="00A222AD"/>
    <w:rsid w:val="00A22662"/>
    <w:rsid w:val="00A22837"/>
    <w:rsid w:val="00A26DD8"/>
    <w:rsid w:val="00A30D5C"/>
    <w:rsid w:val="00A313DA"/>
    <w:rsid w:val="00A31E3F"/>
    <w:rsid w:val="00A33366"/>
    <w:rsid w:val="00A349A1"/>
    <w:rsid w:val="00A356F4"/>
    <w:rsid w:val="00A4219E"/>
    <w:rsid w:val="00A429D0"/>
    <w:rsid w:val="00A4551D"/>
    <w:rsid w:val="00A4560F"/>
    <w:rsid w:val="00A52872"/>
    <w:rsid w:val="00A52FD2"/>
    <w:rsid w:val="00A5529A"/>
    <w:rsid w:val="00A565C6"/>
    <w:rsid w:val="00A56E37"/>
    <w:rsid w:val="00A57986"/>
    <w:rsid w:val="00A61142"/>
    <w:rsid w:val="00A61887"/>
    <w:rsid w:val="00A61936"/>
    <w:rsid w:val="00A623D9"/>
    <w:rsid w:val="00A64FFF"/>
    <w:rsid w:val="00A72D0D"/>
    <w:rsid w:val="00A77018"/>
    <w:rsid w:val="00A820A2"/>
    <w:rsid w:val="00A8366D"/>
    <w:rsid w:val="00A845C9"/>
    <w:rsid w:val="00A85F0D"/>
    <w:rsid w:val="00A8770B"/>
    <w:rsid w:val="00A91559"/>
    <w:rsid w:val="00A976F6"/>
    <w:rsid w:val="00AA138B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47CD7"/>
    <w:rsid w:val="00B55C51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23E4"/>
    <w:rsid w:val="00B943F4"/>
    <w:rsid w:val="00BA0095"/>
    <w:rsid w:val="00BA183F"/>
    <w:rsid w:val="00BA24BD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0BF0"/>
    <w:rsid w:val="00BE7E74"/>
    <w:rsid w:val="00BF02A9"/>
    <w:rsid w:val="00BF0AA8"/>
    <w:rsid w:val="00BF4AD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27046"/>
    <w:rsid w:val="00C316A0"/>
    <w:rsid w:val="00C37007"/>
    <w:rsid w:val="00C43812"/>
    <w:rsid w:val="00C44E45"/>
    <w:rsid w:val="00C45CA1"/>
    <w:rsid w:val="00C46131"/>
    <w:rsid w:val="00C47043"/>
    <w:rsid w:val="00C51F51"/>
    <w:rsid w:val="00C5416B"/>
    <w:rsid w:val="00C55994"/>
    <w:rsid w:val="00C56FCC"/>
    <w:rsid w:val="00C6382F"/>
    <w:rsid w:val="00C64140"/>
    <w:rsid w:val="00C663C0"/>
    <w:rsid w:val="00C665FB"/>
    <w:rsid w:val="00C67207"/>
    <w:rsid w:val="00C76645"/>
    <w:rsid w:val="00C76699"/>
    <w:rsid w:val="00C8107F"/>
    <w:rsid w:val="00C8199C"/>
    <w:rsid w:val="00C84AFB"/>
    <w:rsid w:val="00C85E6D"/>
    <w:rsid w:val="00C87965"/>
    <w:rsid w:val="00C90060"/>
    <w:rsid w:val="00C9063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BBA"/>
    <w:rsid w:val="00CD5DAF"/>
    <w:rsid w:val="00CE0898"/>
    <w:rsid w:val="00CE0E23"/>
    <w:rsid w:val="00CE475E"/>
    <w:rsid w:val="00CF0F9A"/>
    <w:rsid w:val="00CF1D2C"/>
    <w:rsid w:val="00CF2277"/>
    <w:rsid w:val="00CF2E9E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17F3"/>
    <w:rsid w:val="00D231B7"/>
    <w:rsid w:val="00D237F9"/>
    <w:rsid w:val="00D23D50"/>
    <w:rsid w:val="00D2480A"/>
    <w:rsid w:val="00D2645E"/>
    <w:rsid w:val="00D2698B"/>
    <w:rsid w:val="00D3123D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22D2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0194"/>
    <w:rsid w:val="00DA4E14"/>
    <w:rsid w:val="00DB0C47"/>
    <w:rsid w:val="00DB2CBD"/>
    <w:rsid w:val="00DB55BF"/>
    <w:rsid w:val="00DB59CE"/>
    <w:rsid w:val="00DB7804"/>
    <w:rsid w:val="00DC441E"/>
    <w:rsid w:val="00DC46B8"/>
    <w:rsid w:val="00DC4B5C"/>
    <w:rsid w:val="00DC533A"/>
    <w:rsid w:val="00DC79B4"/>
    <w:rsid w:val="00DC7C80"/>
    <w:rsid w:val="00DC7E1E"/>
    <w:rsid w:val="00DD2160"/>
    <w:rsid w:val="00DD3A79"/>
    <w:rsid w:val="00DD3AB3"/>
    <w:rsid w:val="00DD4B32"/>
    <w:rsid w:val="00DD638A"/>
    <w:rsid w:val="00DE08BF"/>
    <w:rsid w:val="00DE45BE"/>
    <w:rsid w:val="00DF1B6E"/>
    <w:rsid w:val="00DF4465"/>
    <w:rsid w:val="00DF4D09"/>
    <w:rsid w:val="00DF5545"/>
    <w:rsid w:val="00DF5D59"/>
    <w:rsid w:val="00E02057"/>
    <w:rsid w:val="00E02C52"/>
    <w:rsid w:val="00E04231"/>
    <w:rsid w:val="00E0796C"/>
    <w:rsid w:val="00E07D34"/>
    <w:rsid w:val="00E100EC"/>
    <w:rsid w:val="00E12E10"/>
    <w:rsid w:val="00E13686"/>
    <w:rsid w:val="00E21D67"/>
    <w:rsid w:val="00E2490B"/>
    <w:rsid w:val="00E25B03"/>
    <w:rsid w:val="00E268C4"/>
    <w:rsid w:val="00E35FA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06D"/>
    <w:rsid w:val="00E855C3"/>
    <w:rsid w:val="00E90C9F"/>
    <w:rsid w:val="00E96357"/>
    <w:rsid w:val="00E97F9A"/>
    <w:rsid w:val="00EA2A0E"/>
    <w:rsid w:val="00EA4210"/>
    <w:rsid w:val="00EA6986"/>
    <w:rsid w:val="00EB0179"/>
    <w:rsid w:val="00EB1F20"/>
    <w:rsid w:val="00EB22B9"/>
    <w:rsid w:val="00EB344E"/>
    <w:rsid w:val="00EB4A84"/>
    <w:rsid w:val="00EB6460"/>
    <w:rsid w:val="00EB6C14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4ECD"/>
    <w:rsid w:val="00ED51B4"/>
    <w:rsid w:val="00ED5EEE"/>
    <w:rsid w:val="00ED7B5C"/>
    <w:rsid w:val="00EE1FEE"/>
    <w:rsid w:val="00EE4B44"/>
    <w:rsid w:val="00EE57F5"/>
    <w:rsid w:val="00EF036B"/>
    <w:rsid w:val="00EF1DB2"/>
    <w:rsid w:val="00EF2353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362"/>
    <w:rsid w:val="00F21826"/>
    <w:rsid w:val="00F2296C"/>
    <w:rsid w:val="00F232D7"/>
    <w:rsid w:val="00F23947"/>
    <w:rsid w:val="00F30A9F"/>
    <w:rsid w:val="00F31BB0"/>
    <w:rsid w:val="00F37427"/>
    <w:rsid w:val="00F453DF"/>
    <w:rsid w:val="00F5021B"/>
    <w:rsid w:val="00F51039"/>
    <w:rsid w:val="00F51181"/>
    <w:rsid w:val="00F513AE"/>
    <w:rsid w:val="00F527E6"/>
    <w:rsid w:val="00F53191"/>
    <w:rsid w:val="00F53633"/>
    <w:rsid w:val="00F56DAA"/>
    <w:rsid w:val="00F56FED"/>
    <w:rsid w:val="00F57BC7"/>
    <w:rsid w:val="00F6059A"/>
    <w:rsid w:val="00F60F8A"/>
    <w:rsid w:val="00F65236"/>
    <w:rsid w:val="00F66FD5"/>
    <w:rsid w:val="00F67345"/>
    <w:rsid w:val="00F67CC4"/>
    <w:rsid w:val="00F708BD"/>
    <w:rsid w:val="00F70F0D"/>
    <w:rsid w:val="00F735C7"/>
    <w:rsid w:val="00F75DB5"/>
    <w:rsid w:val="00F80A54"/>
    <w:rsid w:val="00F810F5"/>
    <w:rsid w:val="00F81BD0"/>
    <w:rsid w:val="00F84A48"/>
    <w:rsid w:val="00F85F01"/>
    <w:rsid w:val="00F865ED"/>
    <w:rsid w:val="00F868EA"/>
    <w:rsid w:val="00F87F0E"/>
    <w:rsid w:val="00F90161"/>
    <w:rsid w:val="00F93494"/>
    <w:rsid w:val="00F94325"/>
    <w:rsid w:val="00F943F8"/>
    <w:rsid w:val="00F948E0"/>
    <w:rsid w:val="00F96EF2"/>
    <w:rsid w:val="00FA093F"/>
    <w:rsid w:val="00FA282A"/>
    <w:rsid w:val="00FA4F11"/>
    <w:rsid w:val="00FA5D3D"/>
    <w:rsid w:val="00FA6481"/>
    <w:rsid w:val="00FB0B16"/>
    <w:rsid w:val="00FB1014"/>
    <w:rsid w:val="00FB1296"/>
    <w:rsid w:val="00FB1EF3"/>
    <w:rsid w:val="00FB1FBD"/>
    <w:rsid w:val="00FB206F"/>
    <w:rsid w:val="00FB5515"/>
    <w:rsid w:val="00FC35E6"/>
    <w:rsid w:val="00FC40E9"/>
    <w:rsid w:val="00FC72C8"/>
    <w:rsid w:val="00FC7B0D"/>
    <w:rsid w:val="00FD0C9D"/>
    <w:rsid w:val="00FD1D3C"/>
    <w:rsid w:val="00FD57B5"/>
    <w:rsid w:val="00FE1B45"/>
    <w:rsid w:val="00FE2459"/>
    <w:rsid w:val="00FF24B3"/>
    <w:rsid w:val="00FF31CE"/>
    <w:rsid w:val="00FF357F"/>
    <w:rsid w:val="00FF5AD8"/>
    <w:rsid w:val="00FF73C4"/>
    <w:rsid w:val="00FF7B83"/>
    <w:rsid w:val="10E5D1E3"/>
    <w:rsid w:val="1FBB4F40"/>
    <w:rsid w:val="24D945FD"/>
    <w:rsid w:val="3B4F69AD"/>
    <w:rsid w:val="47DF42D3"/>
    <w:rsid w:val="4BFA9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3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B3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59"/>
    <w:pPr>
      <w:spacing w:after="160" w:line="240" w:lineRule="auto"/>
      <w:jc w:val="left"/>
      <w:outlineLvl w:val="9"/>
    </w:pPr>
    <w:rPr>
      <w:rFonts w:ascii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59"/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D237F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1546"/>
    <w:pPr>
      <w:spacing w:after="120"/>
      <w:jc w:val="both"/>
      <w:outlineLvl w:val="0"/>
    </w:pPr>
    <w:rPr>
      <w:rFonts w:ascii="Arial" w:hAnsi="Arial" w:cs="Arial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B1546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semiHidden/>
    <w:unhideWhenUsed/>
    <w:rsid w:val="000C63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.rsc.org/experiments/using-indigestion-tablets-to-neutralise-an-acid/698.artic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.rsc.org/resources/collections/in-search-of-solu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.rsc.org/in-search-of-solutions/how-to-use-resources-from-in-search-of-solutions/4014496.articl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FbP5Lb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6</TotalTime>
  <Pages>2</Pages>
  <Words>595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toothpaste basic?</vt:lpstr>
    </vt:vector>
  </TitlesOfParts>
  <Manager/>
  <Company>Royal Society of Chemistry</Company>
  <LinksUpToDate>false</LinksUpToDate>
  <CharactersWithSpaces>3913</CharactersWithSpaces>
  <SharedDoc>false</SharedDoc>
  <HyperlinkBase/>
  <HLinks>
    <vt:vector size="24" baseType="variant">
      <vt:variant>
        <vt:i4>3932205</vt:i4>
      </vt:variant>
      <vt:variant>
        <vt:i4>6</vt:i4>
      </vt:variant>
      <vt:variant>
        <vt:i4>0</vt:i4>
      </vt:variant>
      <vt:variant>
        <vt:i4>5</vt:i4>
      </vt:variant>
      <vt:variant>
        <vt:lpwstr>https://edu.rsc.org/experiments/using-indigestion-tablets-to-neutralise-an-acid/698.article</vt:lpwstr>
      </vt:variant>
      <vt:variant>
        <vt:lpwstr/>
      </vt:variant>
      <vt:variant>
        <vt:i4>131147</vt:i4>
      </vt:variant>
      <vt:variant>
        <vt:i4>3</vt:i4>
      </vt:variant>
      <vt:variant>
        <vt:i4>0</vt:i4>
      </vt:variant>
      <vt:variant>
        <vt:i4>5</vt:i4>
      </vt:variant>
      <vt:variant>
        <vt:lpwstr>https://edu.rsc.org/resources/collections/in-search-of-solutions</vt:lpwstr>
      </vt:variant>
      <vt:variant>
        <vt:lpwstr/>
      </vt:variant>
      <vt:variant>
        <vt:i4>6291501</vt:i4>
      </vt:variant>
      <vt:variant>
        <vt:i4>0</vt:i4>
      </vt:variant>
      <vt:variant>
        <vt:i4>0</vt:i4>
      </vt:variant>
      <vt:variant>
        <vt:i4>5</vt:i4>
      </vt:variant>
      <vt:variant>
        <vt:lpwstr>https://edu.rsc.org/in-search-of-solutions/how-to-use-resources-from-in-search-of-solutions/4014496.article</vt:lpwstr>
      </vt:variant>
      <vt:variant>
        <vt:lpwstr/>
      </vt:variant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https://rsc.li/3FbP5Lb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toothpaste basic?</dc:title>
  <dc:subject/>
  <dc:creator>Royal Society of Chemistry</dc:creator>
  <cp:keywords>neutralisation, acid, base, alkali, neutral, pH, practical</cp:keywords>
  <dc:description>From Everyday neutralisation myths busted, Education in Chemistry, rsc.li/3FbP5Lb</dc:description>
  <cp:lastModifiedBy>Georgia Murphy</cp:lastModifiedBy>
  <cp:revision>3</cp:revision>
  <cp:lastPrinted>2012-04-18T08:40:00Z</cp:lastPrinted>
  <dcterms:created xsi:type="dcterms:W3CDTF">2022-01-25T12:11:00Z</dcterms:created>
  <dcterms:modified xsi:type="dcterms:W3CDTF">2022-01-25T12:16:00Z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