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7929" w14:textId="0B05D9F0" w:rsidR="001B2D4C" w:rsidRPr="00821F56" w:rsidRDefault="00975EE5" w:rsidP="00821F56">
      <w:pPr>
        <w:pStyle w:val="Heading1"/>
      </w:pPr>
      <w:r w:rsidRPr="00821F56">
        <w:t xml:space="preserve">Using thin-layer chromatography to investigate the </w:t>
      </w:r>
      <w:proofErr w:type="gramStart"/>
      <w:r w:rsidRPr="00821F56">
        <w:t>reactions</w:t>
      </w:r>
      <w:proofErr w:type="gramEnd"/>
    </w:p>
    <w:p w14:paraId="1D9203C8" w14:textId="77777777" w:rsidR="00F872E0" w:rsidRPr="00F872E0" w:rsidRDefault="00F872E0" w:rsidP="00F872E0">
      <w:pPr>
        <w:rPr>
          <w:lang w:eastAsia="en-US"/>
        </w:rPr>
      </w:pPr>
    </w:p>
    <w:p w14:paraId="1F69D470" w14:textId="067AD146" w:rsidR="00F872E0" w:rsidRPr="00F872E0" w:rsidRDefault="00F872E0" w:rsidP="00F872E0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F872E0">
        <w:rPr>
          <w:color w:val="auto"/>
          <w:lang w:eastAsia="en-US"/>
        </w:rPr>
        <w:t>You have probably used a simple chromatography experiment as part of your earlier studies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to separate the dyes in a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coloured ink. The same technique can be used to separate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substances which are not dyes but in such experiments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the chromatogram must be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 xml:space="preserve">developed to show up the </w:t>
      </w:r>
      <w:proofErr w:type="gramStart"/>
      <w:r w:rsidRPr="00F872E0">
        <w:rPr>
          <w:color w:val="auto"/>
          <w:lang w:eastAsia="en-US"/>
        </w:rPr>
        <w:t>various different</w:t>
      </w:r>
      <w:proofErr w:type="gramEnd"/>
      <w:r w:rsidRPr="00F872E0">
        <w:rPr>
          <w:color w:val="auto"/>
          <w:lang w:eastAsia="en-US"/>
        </w:rPr>
        <w:t xml:space="preserve"> substances that have been separated.</w:t>
      </w:r>
    </w:p>
    <w:p w14:paraId="13327914" w14:textId="77777777" w:rsidR="00F872E0" w:rsidRDefault="00F872E0" w:rsidP="00F872E0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p w14:paraId="00041CAF" w14:textId="0C966EBB" w:rsidR="00F872E0" w:rsidRPr="00F872E0" w:rsidRDefault="00F872E0" w:rsidP="00F872E0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F872E0">
        <w:rPr>
          <w:color w:val="auto"/>
          <w:lang w:eastAsia="en-US"/>
        </w:rPr>
        <w:t>Chromatography techniques are used a great deal in industry because they can be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controlled very precisely and use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very small amounts of substance. In this activity you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investigate the purity and identity of your laboratory prepared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samples of nitrophenol or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paracetamol using thin-layer chromatography (</w:t>
      </w:r>
      <w:proofErr w:type="spellStart"/>
      <w:r w:rsidRPr="00F872E0">
        <w:rPr>
          <w:color w:val="auto"/>
          <w:lang w:eastAsia="en-US"/>
        </w:rPr>
        <w:t>tlc</w:t>
      </w:r>
      <w:proofErr w:type="spellEnd"/>
      <w:r w:rsidRPr="00F872E0">
        <w:rPr>
          <w:color w:val="auto"/>
          <w:lang w:eastAsia="en-US"/>
        </w:rPr>
        <w:t>). In this activity all the substances are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white or pale yellow so you will need to develop the plate before you can see what has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happened.</w:t>
      </w:r>
    </w:p>
    <w:p w14:paraId="06545078" w14:textId="77777777" w:rsidR="00F872E0" w:rsidRDefault="00F872E0" w:rsidP="00F872E0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p w14:paraId="06C132A1" w14:textId="2DAF7880" w:rsidR="00F872E0" w:rsidRPr="00F872E0" w:rsidRDefault="00F872E0" w:rsidP="00F872E0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F872E0">
        <w:rPr>
          <w:color w:val="auto"/>
          <w:lang w:eastAsia="en-US"/>
        </w:rPr>
        <w:t>Thin-layer chromatography is a powerful tool for determining if two compounds are identical.</w:t>
      </w:r>
      <w:r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A spot of the</w:t>
      </w:r>
      <w:r w:rsidR="00A15BB8"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compound being investigated is placed on a chromatography plate, and a spot of a pure</w:t>
      </w:r>
      <w:r w:rsidR="00A15BB8"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manufactured sample of the</w:t>
      </w:r>
      <w:r w:rsidR="00A15BB8"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same substance is placed next to it. The plate is then allowed to stand in a suitable solvent, which travels up the</w:t>
      </w:r>
      <w:r w:rsidR="00A15BB8"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 xml:space="preserve">plate. If the compound to be identified leaves </w:t>
      </w:r>
      <w:proofErr w:type="gramStart"/>
      <w:r w:rsidRPr="00F872E0">
        <w:rPr>
          <w:color w:val="auto"/>
          <w:lang w:eastAsia="en-US"/>
        </w:rPr>
        <w:t>exactly the same</w:t>
      </w:r>
      <w:proofErr w:type="gramEnd"/>
      <w:r w:rsidRPr="00F872E0">
        <w:rPr>
          <w:color w:val="auto"/>
          <w:lang w:eastAsia="en-US"/>
        </w:rPr>
        <w:t xml:space="preserve"> pattern on the chromatography plate as the known</w:t>
      </w:r>
    </w:p>
    <w:p w14:paraId="2BACE7D8" w14:textId="6C8728B5" w:rsidR="00F872E0" w:rsidRPr="00F872E0" w:rsidRDefault="00F872E0" w:rsidP="00F872E0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F872E0">
        <w:rPr>
          <w:color w:val="auto"/>
          <w:lang w:eastAsia="en-US"/>
        </w:rPr>
        <w:t>pure compound it is reasonable to conclude that they are the same. However, if extra spots are observed as well as</w:t>
      </w:r>
      <w:r w:rsidR="00A15BB8">
        <w:rPr>
          <w:color w:val="auto"/>
          <w:lang w:eastAsia="en-US"/>
        </w:rPr>
        <w:t xml:space="preserve"> </w:t>
      </w:r>
      <w:r w:rsidRPr="00F872E0">
        <w:rPr>
          <w:color w:val="auto"/>
          <w:lang w:eastAsia="en-US"/>
        </w:rPr>
        <w:t>the characteristic pattern of the known compound, then impurities are likely to be present in the sample.</w:t>
      </w:r>
    </w:p>
    <w:p w14:paraId="41956FE4" w14:textId="77777777" w:rsidR="00A15BB8" w:rsidRDefault="00A15BB8" w:rsidP="00F872E0">
      <w:pPr>
        <w:rPr>
          <w:color w:val="auto"/>
          <w:lang w:eastAsia="en-US"/>
        </w:rPr>
      </w:pPr>
    </w:p>
    <w:p w14:paraId="7AEA42E9" w14:textId="183197B3" w:rsidR="00975EE5" w:rsidRDefault="00F872E0" w:rsidP="00F872E0">
      <w:pPr>
        <w:rPr>
          <w:color w:val="auto"/>
          <w:lang w:eastAsia="en-US"/>
        </w:rPr>
      </w:pPr>
      <w:r w:rsidRPr="00F872E0">
        <w:rPr>
          <w:color w:val="auto"/>
          <w:lang w:eastAsia="en-US"/>
        </w:rPr>
        <w:t>In the experiment both crude samples of 2-nitrophenol and 4-nitrophenol are compared with known samples.</w:t>
      </w:r>
    </w:p>
    <w:p w14:paraId="6FF689A3" w14:textId="76A29938" w:rsidR="00A15BB8" w:rsidRDefault="00A15BB8" w:rsidP="003241E6">
      <w:pPr>
        <w:pStyle w:val="Heading2"/>
        <w:rPr>
          <w:lang w:eastAsia="en-US"/>
        </w:rPr>
      </w:pPr>
      <w:r>
        <w:rPr>
          <w:lang w:eastAsia="en-US"/>
        </w:rPr>
        <w:t xml:space="preserve">Health, </w:t>
      </w:r>
      <w:proofErr w:type="gramStart"/>
      <w:r>
        <w:rPr>
          <w:lang w:eastAsia="en-US"/>
        </w:rPr>
        <w:t>safety</w:t>
      </w:r>
      <w:proofErr w:type="gramEnd"/>
      <w:r>
        <w:rPr>
          <w:lang w:eastAsia="en-US"/>
        </w:rPr>
        <w:t xml:space="preserve"> and t</w:t>
      </w:r>
      <w:r w:rsidR="003241E6">
        <w:rPr>
          <w:lang w:eastAsia="en-US"/>
        </w:rPr>
        <w:t>echnical notes</w:t>
      </w:r>
    </w:p>
    <w:p w14:paraId="600B37BC" w14:textId="77777777" w:rsidR="00A15BB8" w:rsidRDefault="00A15BB8" w:rsidP="003241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3241E6">
        <w:rPr>
          <w:color w:val="auto"/>
          <w:lang w:eastAsia="en-US"/>
        </w:rPr>
        <w:t>Wear eye protection.</w:t>
      </w:r>
    </w:p>
    <w:p w14:paraId="4DD13F91" w14:textId="46A87302" w:rsidR="006639B2" w:rsidRPr="003241E6" w:rsidRDefault="006639B2" w:rsidP="003241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>
        <w:rPr>
          <w:color w:val="auto"/>
          <w:lang w:eastAsia="en-US"/>
        </w:rPr>
        <w:t xml:space="preserve">Read our standard health and safety guidance </w:t>
      </w:r>
      <w:hyperlink r:id="rId11" w:history="1">
        <w:r w:rsidRPr="00913427">
          <w:rPr>
            <w:rStyle w:val="Hyperlink"/>
            <w:lang w:eastAsia="en-US"/>
          </w:rPr>
          <w:t>https://rsc.li/4bCW4OT</w:t>
        </w:r>
      </w:hyperlink>
      <w:r>
        <w:rPr>
          <w:color w:val="auto"/>
          <w:lang w:eastAsia="en-US"/>
        </w:rPr>
        <w:t xml:space="preserve"> </w:t>
      </w:r>
    </w:p>
    <w:p w14:paraId="29661B83" w14:textId="77777777" w:rsidR="00A15BB8" w:rsidRPr="003241E6" w:rsidRDefault="00A15BB8" w:rsidP="003241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3241E6">
        <w:rPr>
          <w:b/>
          <w:bCs/>
          <w:color w:val="auto"/>
          <w:lang w:eastAsia="en-US"/>
        </w:rPr>
        <w:t xml:space="preserve">Ethyl ethanoate </w:t>
      </w:r>
      <w:r w:rsidRPr="003241E6">
        <w:rPr>
          <w:color w:val="auto"/>
          <w:lang w:eastAsia="en-US"/>
        </w:rPr>
        <w:t>- volatile, highly flammable, keep away from flames, irritant, do not inhale vapour.</w:t>
      </w:r>
    </w:p>
    <w:p w14:paraId="4D3A3FDD" w14:textId="77777777" w:rsidR="00A15BB8" w:rsidRPr="003241E6" w:rsidRDefault="00A15BB8" w:rsidP="003241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3241E6">
        <w:rPr>
          <w:b/>
          <w:bCs/>
          <w:color w:val="auto"/>
          <w:lang w:eastAsia="en-US"/>
        </w:rPr>
        <w:t xml:space="preserve">Cyclohexane </w:t>
      </w:r>
      <w:r w:rsidRPr="003241E6">
        <w:rPr>
          <w:color w:val="auto"/>
          <w:lang w:eastAsia="en-US"/>
        </w:rPr>
        <w:t>- volatile, highly flammable, keep away from flames, harmful, do not inhale vapour.</w:t>
      </w:r>
    </w:p>
    <w:p w14:paraId="4EB0E1DE" w14:textId="77777777" w:rsidR="00A15BB8" w:rsidRPr="003241E6" w:rsidRDefault="00A15BB8" w:rsidP="003241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3241E6">
        <w:rPr>
          <w:b/>
          <w:bCs/>
          <w:color w:val="auto"/>
          <w:lang w:eastAsia="en-US"/>
        </w:rPr>
        <w:t xml:space="preserve">Iodine </w:t>
      </w:r>
      <w:r w:rsidRPr="003241E6">
        <w:rPr>
          <w:color w:val="auto"/>
          <w:lang w:eastAsia="en-US"/>
        </w:rPr>
        <w:t>- harmful by inhalation or skin contact.</w:t>
      </w:r>
    </w:p>
    <w:p w14:paraId="12187329" w14:textId="3DB88282" w:rsidR="00A15BB8" w:rsidRDefault="00A15BB8" w:rsidP="003241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3241E6">
        <w:rPr>
          <w:b/>
          <w:bCs/>
          <w:color w:val="auto"/>
          <w:lang w:eastAsia="en-US"/>
        </w:rPr>
        <w:t xml:space="preserve">Short wave UV </w:t>
      </w:r>
      <w:r w:rsidRPr="003241E6">
        <w:rPr>
          <w:color w:val="auto"/>
          <w:lang w:eastAsia="en-US"/>
        </w:rPr>
        <w:t>- may cause skin cancer and eye damage. Do not observe directly. The viewer should be screened</w:t>
      </w:r>
      <w:r w:rsidR="003241E6">
        <w:rPr>
          <w:color w:val="auto"/>
          <w:lang w:eastAsia="en-US"/>
        </w:rPr>
        <w:t xml:space="preserve"> </w:t>
      </w:r>
      <w:r w:rsidRPr="003241E6">
        <w:rPr>
          <w:color w:val="auto"/>
          <w:lang w:eastAsia="en-US"/>
        </w:rPr>
        <w:t>from direct radiation.</w:t>
      </w:r>
    </w:p>
    <w:p w14:paraId="13149EB0" w14:textId="77777777" w:rsidR="004B20BA" w:rsidRPr="005C415F" w:rsidRDefault="004B20BA" w:rsidP="005C415F">
      <w:pPr>
        <w:pStyle w:val="Heading2"/>
        <w:rPr>
          <w:lang w:eastAsia="en-US"/>
        </w:rPr>
      </w:pPr>
      <w:r w:rsidRPr="005C415F">
        <w:rPr>
          <w:lang w:eastAsia="en-US"/>
        </w:rPr>
        <w:t>Chemicals (per group)</w:t>
      </w:r>
    </w:p>
    <w:p w14:paraId="19188495" w14:textId="4845BEDD" w:rsidR="004B20BA" w:rsidRPr="005C415F" w:rsidRDefault="004B20BA" w:rsidP="005C41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2-Nitrophenol</w:t>
      </w:r>
    </w:p>
    <w:p w14:paraId="5CA2F5E9" w14:textId="4CE4948E" w:rsidR="004B20BA" w:rsidRPr="005C415F" w:rsidRDefault="004B20BA" w:rsidP="005C41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4-Nitrophenol</w:t>
      </w:r>
    </w:p>
    <w:p w14:paraId="72C0C4CE" w14:textId="77777777" w:rsidR="004B20BA" w:rsidRPr="005C415F" w:rsidRDefault="004B20BA" w:rsidP="005C41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Ethyl ethanoate</w:t>
      </w:r>
    </w:p>
    <w:p w14:paraId="684B18E1" w14:textId="77777777" w:rsidR="004B20BA" w:rsidRPr="005C415F" w:rsidRDefault="004B20BA" w:rsidP="005C41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Cyclohexane</w:t>
      </w:r>
    </w:p>
    <w:p w14:paraId="24066E4B" w14:textId="77777777" w:rsidR="004B20BA" w:rsidRPr="005C415F" w:rsidRDefault="004B20BA" w:rsidP="005C41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Iodine</w:t>
      </w:r>
    </w:p>
    <w:p w14:paraId="25C20512" w14:textId="77777777" w:rsidR="004B20BA" w:rsidRPr="005C415F" w:rsidRDefault="004B20BA" w:rsidP="005C41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 xml:space="preserve">Solid sodium </w:t>
      </w:r>
      <w:proofErr w:type="spellStart"/>
      <w:r w:rsidRPr="005C415F">
        <w:rPr>
          <w:color w:val="auto"/>
          <w:lang w:eastAsia="en-US"/>
        </w:rPr>
        <w:t>hydrogencarbonate</w:t>
      </w:r>
      <w:proofErr w:type="spellEnd"/>
    </w:p>
    <w:p w14:paraId="1F494481" w14:textId="77777777" w:rsidR="004B20BA" w:rsidRPr="005C415F" w:rsidRDefault="004B20BA" w:rsidP="005C415F">
      <w:pPr>
        <w:pStyle w:val="Heading2"/>
        <w:rPr>
          <w:lang w:eastAsia="en-US"/>
        </w:rPr>
      </w:pPr>
      <w:r w:rsidRPr="005C415F">
        <w:rPr>
          <w:lang w:eastAsia="en-US"/>
        </w:rPr>
        <w:t>Apparatus and equipment (per group)</w:t>
      </w:r>
    </w:p>
    <w:p w14:paraId="58D5CED8" w14:textId="7D0F78E3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Four test-tubes</w:t>
      </w:r>
    </w:p>
    <w:p w14:paraId="1D6D2756" w14:textId="20721DEC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Marker pen and pencil</w:t>
      </w:r>
    </w:p>
    <w:p w14:paraId="7F8AD32C" w14:textId="6A0555A4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Access to fume cupboard</w:t>
      </w:r>
    </w:p>
    <w:p w14:paraId="0BD44363" w14:textId="4051CDBD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Capillary melting point tubes</w:t>
      </w:r>
    </w:p>
    <w:p w14:paraId="6929DEF1" w14:textId="150E36CE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TIC plate (or chromatography no. 1 paper)</w:t>
      </w:r>
    </w:p>
    <w:p w14:paraId="065AA350" w14:textId="3F245A08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Chromatography tank (or 1 dm</w:t>
      </w:r>
      <w:r w:rsidRPr="00811CCC">
        <w:rPr>
          <w:color w:val="auto"/>
          <w:vertAlign w:val="superscript"/>
          <w:lang w:eastAsia="en-US"/>
        </w:rPr>
        <w:t>3</w:t>
      </w:r>
      <w:r w:rsidRPr="005C415F">
        <w:rPr>
          <w:color w:val="auto"/>
          <w:lang w:eastAsia="en-US"/>
        </w:rPr>
        <w:t xml:space="preserve"> beaker)</w:t>
      </w:r>
    </w:p>
    <w:p w14:paraId="728F8B12" w14:textId="7F691B05" w:rsidR="005C415F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lastRenderedPageBreak/>
        <w:t>Measuring cylinders</w:t>
      </w:r>
    </w:p>
    <w:p w14:paraId="2283A1C1" w14:textId="07D723E2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Spatula</w:t>
      </w:r>
    </w:p>
    <w:p w14:paraId="2EE12E93" w14:textId="37E15FDC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 xml:space="preserve">Access to UV lamp screened from direct </w:t>
      </w:r>
      <w:proofErr w:type="gramStart"/>
      <w:r w:rsidRPr="005C415F">
        <w:rPr>
          <w:color w:val="auto"/>
          <w:lang w:eastAsia="en-US"/>
        </w:rPr>
        <w:t>view</w:t>
      </w:r>
      <w:proofErr w:type="gramEnd"/>
    </w:p>
    <w:p w14:paraId="0FC47F7E" w14:textId="750C3155" w:rsidR="004B20BA" w:rsidRPr="005C415F" w:rsidRDefault="004B20BA" w:rsidP="005C41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Eye protection</w:t>
      </w:r>
    </w:p>
    <w:p w14:paraId="1A866511" w14:textId="47D5DD91" w:rsidR="004B20BA" w:rsidRPr="004B20BA" w:rsidRDefault="00272624" w:rsidP="004B20BA">
      <w:pPr>
        <w:pStyle w:val="Heading2"/>
        <w:rPr>
          <w:lang w:eastAsia="en-US"/>
        </w:rPr>
      </w:pPr>
      <w:r>
        <w:rPr>
          <w:lang w:eastAsia="en-US"/>
        </w:rPr>
        <w:t>Method</w:t>
      </w:r>
    </w:p>
    <w:p w14:paraId="0B56A044" w14:textId="4ECDC46F" w:rsidR="00A15BB8" w:rsidRPr="003241E6" w:rsidRDefault="00A15BB8" w:rsidP="00A15BB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18"/>
          <w:szCs w:val="18"/>
          <w:lang w:eastAsia="en-US"/>
        </w:rPr>
      </w:pPr>
    </w:p>
    <w:p w14:paraId="114F422F" w14:textId="12839C7E" w:rsidR="00A15BB8" w:rsidRPr="00D15CE1" w:rsidRDefault="00A15BB8" w:rsidP="00D15C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1E22AA">
        <w:rPr>
          <w:color w:val="auto"/>
          <w:lang w:eastAsia="en-US"/>
        </w:rPr>
        <w:t xml:space="preserve">Make sure that you do not touch the surface of the </w:t>
      </w:r>
      <w:proofErr w:type="spellStart"/>
      <w:r w:rsidRPr="001E22AA">
        <w:rPr>
          <w:color w:val="auto"/>
          <w:lang w:eastAsia="en-US"/>
        </w:rPr>
        <w:t>tlc</w:t>
      </w:r>
      <w:proofErr w:type="spellEnd"/>
      <w:r w:rsidRPr="001E22AA">
        <w:rPr>
          <w:color w:val="auto"/>
          <w:lang w:eastAsia="en-US"/>
        </w:rPr>
        <w:t xml:space="preserve"> plate with your fingers during this activity. </w:t>
      </w:r>
      <w:r w:rsidRPr="00D15CE1">
        <w:rPr>
          <w:color w:val="auto"/>
          <w:lang w:eastAsia="en-US"/>
        </w:rPr>
        <w:t>Handle the</w:t>
      </w:r>
      <w:r w:rsidR="001E22AA" w:rsidRPr="00D15CE1">
        <w:rPr>
          <w:color w:val="auto"/>
          <w:lang w:eastAsia="en-US"/>
        </w:rPr>
        <w:t xml:space="preserve"> </w:t>
      </w:r>
      <w:r w:rsidRPr="00D15CE1">
        <w:rPr>
          <w:color w:val="auto"/>
          <w:lang w:eastAsia="en-US"/>
        </w:rPr>
        <w:t>plate only by the edges and use tweezers if possible.</w:t>
      </w:r>
    </w:p>
    <w:p w14:paraId="370C9B31" w14:textId="45628360" w:rsidR="00A15BB8" w:rsidRPr="001E22AA" w:rsidRDefault="00A15BB8" w:rsidP="001E22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1E22AA">
        <w:rPr>
          <w:color w:val="auto"/>
          <w:lang w:eastAsia="en-US"/>
        </w:rPr>
        <w:t xml:space="preserve">Take a </w:t>
      </w:r>
      <w:proofErr w:type="spellStart"/>
      <w:r w:rsidRPr="001E22AA">
        <w:rPr>
          <w:color w:val="auto"/>
          <w:lang w:eastAsia="en-US"/>
        </w:rPr>
        <w:t>tlc</w:t>
      </w:r>
      <w:proofErr w:type="spellEnd"/>
      <w:r w:rsidRPr="001E22AA">
        <w:rPr>
          <w:color w:val="auto"/>
          <w:lang w:eastAsia="en-US"/>
        </w:rPr>
        <w:t xml:space="preserve"> plate and using a pencil (not a ball-point or felt tip pen) lightly draw a line across</w:t>
      </w:r>
      <w:r w:rsidR="001E22AA" w:rsidRPr="001E22AA">
        <w:rPr>
          <w:color w:val="auto"/>
          <w:lang w:eastAsia="en-US"/>
        </w:rPr>
        <w:t xml:space="preserve"> </w:t>
      </w:r>
      <w:r w:rsidRPr="001E22AA">
        <w:rPr>
          <w:color w:val="auto"/>
          <w:lang w:eastAsia="en-US"/>
        </w:rPr>
        <w:t>the plate about 1 cm</w:t>
      </w:r>
      <w:r w:rsidR="001E22AA" w:rsidRPr="001E22AA">
        <w:rPr>
          <w:color w:val="auto"/>
          <w:lang w:eastAsia="en-US"/>
        </w:rPr>
        <w:t xml:space="preserve"> </w:t>
      </w:r>
      <w:r w:rsidRPr="001E22AA">
        <w:rPr>
          <w:color w:val="auto"/>
          <w:lang w:eastAsia="en-US"/>
        </w:rPr>
        <w:t>from the bottom. Mark four equally spaced points on this line.</w:t>
      </w:r>
    </w:p>
    <w:p w14:paraId="1628C32B" w14:textId="2179F77C" w:rsidR="00A15BB8" w:rsidRDefault="00A15BB8" w:rsidP="00D15CE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1E22AA">
        <w:rPr>
          <w:color w:val="auto"/>
          <w:lang w:eastAsia="en-US"/>
        </w:rPr>
        <w:t>Place small amounts (about 1/3 of a spatula measure) of your crude 2-nitropheno1, your</w:t>
      </w:r>
      <w:r w:rsidR="001E22AA" w:rsidRPr="001E22AA">
        <w:rPr>
          <w:color w:val="auto"/>
          <w:lang w:eastAsia="en-US"/>
        </w:rPr>
        <w:t xml:space="preserve"> </w:t>
      </w:r>
      <w:r w:rsidRPr="001E22AA">
        <w:rPr>
          <w:color w:val="auto"/>
          <w:lang w:eastAsia="en-US"/>
        </w:rPr>
        <w:t>crude 4-nitrophenol and</w:t>
      </w:r>
      <w:r w:rsidR="001E22AA" w:rsidRPr="001E22AA">
        <w:rPr>
          <w:color w:val="auto"/>
          <w:lang w:eastAsia="en-US"/>
        </w:rPr>
        <w:t xml:space="preserve"> </w:t>
      </w:r>
      <w:r w:rsidRPr="001E22AA">
        <w:rPr>
          <w:color w:val="auto"/>
          <w:lang w:eastAsia="en-US"/>
        </w:rPr>
        <w:t>the commercial samples of these in four separate test-tubes.</w:t>
      </w:r>
      <w:r w:rsidR="00D15CE1">
        <w:rPr>
          <w:color w:val="auto"/>
          <w:lang w:eastAsia="en-US"/>
        </w:rPr>
        <w:t xml:space="preserve"> </w:t>
      </w:r>
      <w:r w:rsidRPr="00D15CE1">
        <w:rPr>
          <w:color w:val="auto"/>
          <w:lang w:eastAsia="en-US"/>
        </w:rPr>
        <w:t>Label the test-tubes so that you know which is</w:t>
      </w:r>
      <w:r w:rsidR="001E22AA" w:rsidRPr="00D15CE1">
        <w:rPr>
          <w:color w:val="auto"/>
          <w:lang w:eastAsia="en-US"/>
        </w:rPr>
        <w:t xml:space="preserve"> </w:t>
      </w:r>
      <w:r w:rsidRPr="00D15CE1">
        <w:rPr>
          <w:color w:val="auto"/>
          <w:lang w:eastAsia="en-US"/>
        </w:rPr>
        <w:t>which.</w:t>
      </w:r>
    </w:p>
    <w:p w14:paraId="3E9B334E" w14:textId="15C0A762" w:rsidR="00272624" w:rsidRDefault="00BD6BCB" w:rsidP="00BD6BCB">
      <w:pPr>
        <w:autoSpaceDE w:val="0"/>
        <w:autoSpaceDN w:val="0"/>
        <w:adjustRightInd w:val="0"/>
        <w:spacing w:line="240" w:lineRule="auto"/>
        <w:jc w:val="center"/>
        <w:rPr>
          <w:color w:val="auto"/>
          <w:lang w:eastAsia="en-US"/>
        </w:rPr>
      </w:pPr>
      <w:r>
        <w:rPr>
          <w:noProof/>
        </w:rPr>
        <w:drawing>
          <wp:inline distT="0" distB="0" distL="0" distR="0" wp14:anchorId="1AE20A7C" wp14:editId="6B7FAFE2">
            <wp:extent cx="1813560" cy="2404296"/>
            <wp:effectExtent l="0" t="0" r="0" b="0"/>
            <wp:docPr id="13857648" name="Picture 1" descr="A white paper with black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648" name="Picture 1" descr="A white paper with black x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5103" cy="240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C00EB" w14:textId="0C414828" w:rsidR="002D25A6" w:rsidRPr="002D25A6" w:rsidRDefault="002D25A6" w:rsidP="002D25A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2D25A6">
        <w:rPr>
          <w:color w:val="auto"/>
          <w:lang w:eastAsia="en-US"/>
        </w:rPr>
        <w:t>Add 1 cm</w:t>
      </w:r>
      <w:r w:rsidRPr="00544284">
        <w:rPr>
          <w:color w:val="auto"/>
          <w:vertAlign w:val="superscript"/>
          <w:lang w:eastAsia="en-US"/>
        </w:rPr>
        <w:t>3</w:t>
      </w:r>
      <w:r w:rsidRPr="002D25A6">
        <w:rPr>
          <w:color w:val="auto"/>
          <w:lang w:eastAsia="en-US"/>
        </w:rPr>
        <w:t xml:space="preserve"> of ethyl ethanoate to the test-tubes to dissolve the samples. If </w:t>
      </w:r>
      <w:proofErr w:type="gramStart"/>
      <w:r w:rsidRPr="002D25A6">
        <w:rPr>
          <w:color w:val="auto"/>
          <w:lang w:eastAsia="en-US"/>
        </w:rPr>
        <w:t>possible</w:t>
      </w:r>
      <w:proofErr w:type="gramEnd"/>
      <w:r w:rsidRPr="002D25A6">
        <w:rPr>
          <w:color w:val="auto"/>
          <w:lang w:eastAsia="en-US"/>
        </w:rPr>
        <w:t xml:space="preserve"> do this in a fume cupboard.</w:t>
      </w:r>
    </w:p>
    <w:p w14:paraId="2D43F60C" w14:textId="25EDC451" w:rsidR="002D25A6" w:rsidRPr="002D25A6" w:rsidRDefault="002D25A6" w:rsidP="002D25A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2D25A6">
        <w:rPr>
          <w:color w:val="auto"/>
          <w:lang w:eastAsia="en-US"/>
        </w:rPr>
        <w:t xml:space="preserve">Use clean capillary tubes to spot each of your four samples onto the </w:t>
      </w:r>
      <w:proofErr w:type="spellStart"/>
      <w:r w:rsidRPr="002D25A6">
        <w:rPr>
          <w:color w:val="auto"/>
          <w:lang w:eastAsia="en-US"/>
        </w:rPr>
        <w:t>tlc</w:t>
      </w:r>
      <w:proofErr w:type="spellEnd"/>
      <w:r w:rsidRPr="002D25A6">
        <w:rPr>
          <w:color w:val="auto"/>
          <w:lang w:eastAsia="en-US"/>
        </w:rPr>
        <w:t xml:space="preserve"> plate. Allow the spots to dry and then</w:t>
      </w:r>
      <w:r>
        <w:rPr>
          <w:color w:val="auto"/>
          <w:lang w:eastAsia="en-US"/>
        </w:rPr>
        <w:t xml:space="preserve"> </w:t>
      </w:r>
      <w:r w:rsidRPr="002D25A6">
        <w:rPr>
          <w:color w:val="auto"/>
          <w:lang w:eastAsia="en-US"/>
        </w:rPr>
        <w:t>repeat. The spots should be about 1-2 mm in diameter.</w:t>
      </w:r>
    </w:p>
    <w:p w14:paraId="2A6467A8" w14:textId="40A265F4" w:rsidR="00BD6BCB" w:rsidRDefault="002D25A6" w:rsidP="002D25A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2D25A6">
        <w:rPr>
          <w:color w:val="auto"/>
          <w:lang w:eastAsia="en-US"/>
        </w:rPr>
        <w:t xml:space="preserve">After all the spots are dry, place the </w:t>
      </w:r>
      <w:proofErr w:type="spellStart"/>
      <w:r w:rsidRPr="002D25A6">
        <w:rPr>
          <w:color w:val="auto"/>
          <w:lang w:eastAsia="en-US"/>
        </w:rPr>
        <w:t>tlc</w:t>
      </w:r>
      <w:proofErr w:type="spellEnd"/>
      <w:r w:rsidRPr="002D25A6">
        <w:rPr>
          <w:color w:val="auto"/>
          <w:lang w:eastAsia="en-US"/>
        </w:rPr>
        <w:t xml:space="preserve"> plate in the chromatography tank making sure that the original pencil lin</w:t>
      </w:r>
      <w:r>
        <w:rPr>
          <w:color w:val="auto"/>
          <w:lang w:eastAsia="en-US"/>
        </w:rPr>
        <w:t xml:space="preserve">e </w:t>
      </w:r>
      <w:r w:rsidRPr="002D25A6">
        <w:rPr>
          <w:color w:val="auto"/>
          <w:lang w:eastAsia="en-US"/>
        </w:rPr>
        <w:t xml:space="preserve">is above the level of the developing solvent - ethyl </w:t>
      </w:r>
      <w:proofErr w:type="spellStart"/>
      <w:proofErr w:type="gramStart"/>
      <w:r w:rsidRPr="002D25A6">
        <w:rPr>
          <w:color w:val="auto"/>
          <w:lang w:eastAsia="en-US"/>
        </w:rPr>
        <w:t>ethanoate:cyclohexane</w:t>
      </w:r>
      <w:proofErr w:type="spellEnd"/>
      <w:proofErr w:type="gramEnd"/>
      <w:r w:rsidRPr="002D25A6">
        <w:rPr>
          <w:color w:val="auto"/>
          <w:lang w:eastAsia="en-US"/>
        </w:rPr>
        <w:t xml:space="preserve"> 1 :4. Put a lid on the tank and allow to</w:t>
      </w:r>
      <w:r w:rsidR="00CA2B6A">
        <w:rPr>
          <w:color w:val="auto"/>
          <w:lang w:eastAsia="en-US"/>
        </w:rPr>
        <w:t xml:space="preserve"> </w:t>
      </w:r>
      <w:r w:rsidRPr="00CA2B6A">
        <w:rPr>
          <w:color w:val="auto"/>
          <w:lang w:eastAsia="en-US"/>
        </w:rPr>
        <w:t>stand in a fume cupboard until the solvent front has risen to within a few millimetres of the top of the plate.</w:t>
      </w:r>
    </w:p>
    <w:p w14:paraId="4E1B0F4C" w14:textId="756B4D02" w:rsidR="00CA2B6A" w:rsidRDefault="000B0AB8" w:rsidP="00CA2B6A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>
        <w:rPr>
          <w:noProof/>
        </w:rPr>
        <w:lastRenderedPageBreak/>
        <w:drawing>
          <wp:inline distT="0" distB="0" distL="0" distR="0" wp14:anchorId="30762EC7" wp14:editId="777494A3">
            <wp:extent cx="5731510" cy="2581275"/>
            <wp:effectExtent l="0" t="0" r="2540" b="9525"/>
            <wp:docPr id="1811352732" name="Picture 1" descr="A diagram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52732" name="Picture 1" descr="A diagram of a solu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2310" w14:textId="6BC3C05D" w:rsidR="000B0AB8" w:rsidRPr="00BE4B2B" w:rsidRDefault="000B0AB8" w:rsidP="00BE4B2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BE4B2B">
        <w:rPr>
          <w:color w:val="auto"/>
          <w:lang w:eastAsia="en-US"/>
        </w:rPr>
        <w:t>Remove the plate from the tank and quickly mark the position of the solvent front. Allow the plate to dry.</w:t>
      </w:r>
    </w:p>
    <w:p w14:paraId="19A40A10" w14:textId="770D2334" w:rsidR="000B0AB8" w:rsidRPr="00BE4B2B" w:rsidRDefault="000B0AB8" w:rsidP="00BE4B2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BE4B2B">
        <w:rPr>
          <w:color w:val="auto"/>
          <w:lang w:eastAsia="en-US"/>
        </w:rPr>
        <w:t>Observe the plate under a short wavelength UV lamp and lightly mark with a pencil any spots observed.</w:t>
      </w:r>
    </w:p>
    <w:p w14:paraId="4F2B168C" w14:textId="256FDC9E" w:rsidR="000B0AB8" w:rsidRDefault="000B0AB8" w:rsidP="00BE4B2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BE4B2B">
        <w:rPr>
          <w:color w:val="auto"/>
          <w:lang w:eastAsia="en-US"/>
        </w:rPr>
        <w:t>Carefully place the plate in a jar or beaker containing a few iodine crystals. Put a cover on the jar and wait for the spots to appear. Do this in a fume cupboard if possible.</w:t>
      </w:r>
    </w:p>
    <w:p w14:paraId="2521AC90" w14:textId="77777777" w:rsidR="00C21B5E" w:rsidRPr="00C21B5E" w:rsidRDefault="00C21B5E" w:rsidP="00C21B5E">
      <w:pPr>
        <w:pStyle w:val="Heading2"/>
        <w:rPr>
          <w:lang w:eastAsia="en-US"/>
        </w:rPr>
      </w:pPr>
      <w:r w:rsidRPr="00C21B5E">
        <w:rPr>
          <w:lang w:eastAsia="en-US"/>
        </w:rPr>
        <w:t>Results</w:t>
      </w:r>
    </w:p>
    <w:p w14:paraId="17E5E3C9" w14:textId="0ED2E303" w:rsidR="00C21B5E" w:rsidRPr="00C21B5E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C21B5E">
        <w:rPr>
          <w:color w:val="auto"/>
          <w:lang w:eastAsia="en-US"/>
        </w:rPr>
        <w:t>Draw a diagram to show which spots appeared under UV light and which appear with iodine.</w:t>
      </w:r>
    </w:p>
    <w:p w14:paraId="696056D5" w14:textId="77777777" w:rsidR="00C21B5E" w:rsidRPr="00C21B5E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C21B5E">
        <w:rPr>
          <w:color w:val="auto"/>
          <w:lang w:eastAsia="en-US"/>
        </w:rPr>
        <w:t xml:space="preserve">Determine the R, value of the samples using the </w:t>
      </w:r>
      <w:proofErr w:type="gramStart"/>
      <w:r w:rsidRPr="00C21B5E">
        <w:rPr>
          <w:color w:val="auto"/>
          <w:lang w:eastAsia="en-US"/>
        </w:rPr>
        <w:t>expression</w:t>
      </w:r>
      <w:proofErr w:type="gramEnd"/>
    </w:p>
    <w:p w14:paraId="5C75B88F" w14:textId="545FBC8A" w:rsidR="00C21B5E" w:rsidRPr="005C415F" w:rsidRDefault="00C21B5E" w:rsidP="005C415F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C21B5E">
        <w:rPr>
          <w:color w:val="auto"/>
          <w:lang w:eastAsia="en-US"/>
        </w:rPr>
        <w:t>R, = distance moved by sample / distance moved by solvent</w:t>
      </w:r>
    </w:p>
    <w:p w14:paraId="2667A521" w14:textId="3379A32D" w:rsidR="00C21B5E" w:rsidRPr="00C21B5E" w:rsidRDefault="00C21B5E" w:rsidP="00C21B5E">
      <w:pPr>
        <w:pStyle w:val="Heading2"/>
        <w:rPr>
          <w:lang w:eastAsia="en-US"/>
        </w:rPr>
      </w:pPr>
      <w:r w:rsidRPr="00C21B5E">
        <w:rPr>
          <w:lang w:eastAsia="en-US"/>
        </w:rPr>
        <w:t>Questions</w:t>
      </w:r>
    </w:p>
    <w:p w14:paraId="58B82810" w14:textId="5CFCBF5C" w:rsidR="00C21B5E" w:rsidRPr="005C415F" w:rsidRDefault="00C21B5E" w:rsidP="00C21B5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 xml:space="preserve">Write a short paragraph explaining why some substances move further up the </w:t>
      </w:r>
      <w:proofErr w:type="spellStart"/>
      <w:r w:rsidRPr="005C415F">
        <w:rPr>
          <w:color w:val="auto"/>
          <w:lang w:eastAsia="en-US"/>
        </w:rPr>
        <w:t>tlc</w:t>
      </w:r>
      <w:proofErr w:type="spellEnd"/>
      <w:r w:rsidRPr="005C415F">
        <w:rPr>
          <w:color w:val="auto"/>
          <w:lang w:eastAsia="en-US"/>
        </w:rPr>
        <w:t xml:space="preserve"> plate than others and how the results are made visible.</w:t>
      </w:r>
    </w:p>
    <w:p w14:paraId="2BE5C900" w14:textId="3B078F3C" w:rsidR="00C21B5E" w:rsidRDefault="00C21B5E" w:rsidP="00C21B5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C415F">
        <w:rPr>
          <w:color w:val="auto"/>
          <w:lang w:eastAsia="en-US"/>
        </w:rPr>
        <w:t>What</w:t>
      </w:r>
      <w:r w:rsidRPr="00C21B5E">
        <w:rPr>
          <w:color w:val="auto"/>
          <w:lang w:eastAsia="en-US"/>
        </w:rPr>
        <w:t xml:space="preserve"> conclusions can you draw about the nature of the four samples tested?</w:t>
      </w:r>
    </w:p>
    <w:p w14:paraId="49B9C184" w14:textId="77777777" w:rsidR="005C415F" w:rsidRPr="005C415F" w:rsidRDefault="005C415F" w:rsidP="005C415F">
      <w:pPr>
        <w:pStyle w:val="Heading2"/>
        <w:rPr>
          <w:lang w:eastAsia="en-US"/>
        </w:rPr>
      </w:pPr>
      <w:r w:rsidRPr="005C415F">
        <w:rPr>
          <w:lang w:eastAsia="en-US"/>
        </w:rPr>
        <w:t>Answers</w:t>
      </w:r>
    </w:p>
    <w:p w14:paraId="5A0DE8FC" w14:textId="4AC40D07" w:rsidR="005C415F" w:rsidRPr="005C415F" w:rsidRDefault="005C415F" w:rsidP="005C415F">
      <w:pPr>
        <w:autoSpaceDE w:val="0"/>
        <w:autoSpaceDN w:val="0"/>
        <w:adjustRightInd w:val="0"/>
        <w:spacing w:line="240" w:lineRule="auto"/>
        <w:ind w:left="360"/>
        <w:rPr>
          <w:color w:val="auto"/>
          <w:lang w:eastAsia="en-US"/>
        </w:rPr>
      </w:pPr>
      <w:r w:rsidRPr="005C415F">
        <w:rPr>
          <w:color w:val="auto"/>
          <w:lang w:eastAsia="en-US"/>
        </w:rPr>
        <w:t>1. Less polar substances move further up the plate because they have less affinity for</w:t>
      </w:r>
      <w:r>
        <w:rPr>
          <w:color w:val="auto"/>
          <w:lang w:eastAsia="en-US"/>
        </w:rPr>
        <w:t xml:space="preserve"> </w:t>
      </w:r>
      <w:r w:rsidRPr="005C415F">
        <w:rPr>
          <w:color w:val="auto"/>
          <w:lang w:eastAsia="en-US"/>
        </w:rPr>
        <w:t>polar silica - results made visible using ultraviolet light, iodine staining or</w:t>
      </w:r>
      <w:r>
        <w:rPr>
          <w:color w:val="auto"/>
          <w:lang w:eastAsia="en-US"/>
        </w:rPr>
        <w:t xml:space="preserve"> </w:t>
      </w:r>
      <w:r w:rsidRPr="005C415F">
        <w:rPr>
          <w:color w:val="auto"/>
          <w:lang w:eastAsia="en-US"/>
        </w:rPr>
        <w:t>potassium permanganate staining.</w:t>
      </w:r>
    </w:p>
    <w:p w14:paraId="2621F252" w14:textId="775F7CE7" w:rsidR="005C415F" w:rsidRPr="005C415F" w:rsidRDefault="005C415F" w:rsidP="005C415F">
      <w:pPr>
        <w:autoSpaceDE w:val="0"/>
        <w:autoSpaceDN w:val="0"/>
        <w:adjustRightInd w:val="0"/>
        <w:spacing w:line="240" w:lineRule="auto"/>
        <w:ind w:left="360"/>
        <w:rPr>
          <w:color w:val="auto"/>
          <w:lang w:eastAsia="en-US"/>
        </w:rPr>
      </w:pPr>
      <w:r w:rsidRPr="005C415F">
        <w:rPr>
          <w:color w:val="auto"/>
          <w:lang w:eastAsia="en-US"/>
        </w:rPr>
        <w:t>2. Dependent on results.</w:t>
      </w:r>
    </w:p>
    <w:p w14:paraId="295CE103" w14:textId="77777777" w:rsidR="00C21B5E" w:rsidRPr="0045440F" w:rsidRDefault="00C21B5E" w:rsidP="0045440F">
      <w:pPr>
        <w:pStyle w:val="Heading2"/>
      </w:pPr>
      <w:r w:rsidRPr="0045440F">
        <w:t>Other experiments</w:t>
      </w:r>
    </w:p>
    <w:p w14:paraId="53A73D83" w14:textId="2B7A9403" w:rsidR="00C21B5E" w:rsidRPr="0045440F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45440F">
        <w:rPr>
          <w:color w:val="auto"/>
          <w:lang w:eastAsia="en-US"/>
        </w:rPr>
        <w:t>The conversion of 4-aminophenol into paracetamol can be followed using ethyl</w:t>
      </w:r>
      <w:r w:rsidR="0045440F">
        <w:rPr>
          <w:color w:val="auto"/>
          <w:lang w:eastAsia="en-US"/>
        </w:rPr>
        <w:t xml:space="preserve"> </w:t>
      </w:r>
      <w:proofErr w:type="spellStart"/>
      <w:proofErr w:type="gramStart"/>
      <w:r w:rsidRPr="0045440F">
        <w:rPr>
          <w:color w:val="auto"/>
          <w:lang w:eastAsia="en-US"/>
        </w:rPr>
        <w:t>ethanoate:cyclohexane</w:t>
      </w:r>
      <w:proofErr w:type="spellEnd"/>
      <w:proofErr w:type="gramEnd"/>
      <w:r w:rsidRPr="0045440F">
        <w:rPr>
          <w:color w:val="auto"/>
          <w:lang w:eastAsia="en-US"/>
        </w:rPr>
        <w:t xml:space="preserve"> 2:l as the eluant.</w:t>
      </w:r>
    </w:p>
    <w:p w14:paraId="51EFA3D4" w14:textId="77777777" w:rsidR="00C21B5E" w:rsidRPr="0045440F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45440F">
        <w:rPr>
          <w:color w:val="auto"/>
          <w:lang w:eastAsia="en-US"/>
        </w:rPr>
        <w:t>This system can also be used to monitor the hydrolysis step in the quantitative analysis.</w:t>
      </w:r>
    </w:p>
    <w:p w14:paraId="727D1385" w14:textId="77777777" w:rsidR="0045440F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45440F">
        <w:rPr>
          <w:color w:val="auto"/>
          <w:lang w:eastAsia="en-US"/>
        </w:rPr>
        <w:t>To test aqueous mixtures, take a small sample (less than 1 cm3) and place in a test-tube. Adjust the solution to pH 8</w:t>
      </w:r>
      <w:r w:rsidR="0045440F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 xml:space="preserve">by adding small amounts of sodium hydrogen carbonate. Add ethyl ethanoate (1 cm3) and shake. </w:t>
      </w:r>
    </w:p>
    <w:p w14:paraId="3C98E034" w14:textId="5BFC86D7" w:rsidR="00C21B5E" w:rsidRPr="0045440F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45440F">
        <w:rPr>
          <w:color w:val="auto"/>
          <w:lang w:eastAsia="en-US"/>
        </w:rPr>
        <w:t>Allow the layers to</w:t>
      </w:r>
      <w:r w:rsidR="0045440F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 xml:space="preserve">separate and use a capillary tube to sample the upper ethyl ethanoate layer for </w:t>
      </w:r>
      <w:proofErr w:type="spellStart"/>
      <w:r w:rsidRPr="0045440F">
        <w:rPr>
          <w:color w:val="auto"/>
          <w:lang w:eastAsia="en-US"/>
        </w:rPr>
        <w:t>tlc</w:t>
      </w:r>
      <w:proofErr w:type="spellEnd"/>
      <w:r w:rsidRPr="0045440F">
        <w:rPr>
          <w:color w:val="auto"/>
          <w:lang w:eastAsia="en-US"/>
        </w:rPr>
        <w:t>.</w:t>
      </w:r>
    </w:p>
    <w:p w14:paraId="0FE62FD9" w14:textId="281DDA2B" w:rsidR="00C21B5E" w:rsidRPr="0045440F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45440F">
        <w:rPr>
          <w:color w:val="auto"/>
          <w:lang w:eastAsia="en-US"/>
        </w:rPr>
        <w:t>Control of the pH of the aqueous sample is important to ensure the organic compound is not ionised otherwise it</w:t>
      </w:r>
      <w:r w:rsidR="00806669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 xml:space="preserve">will not extract effectively or run on a </w:t>
      </w:r>
      <w:proofErr w:type="spellStart"/>
      <w:r w:rsidRPr="0045440F">
        <w:rPr>
          <w:color w:val="auto"/>
          <w:lang w:eastAsia="en-US"/>
        </w:rPr>
        <w:t>tlc</w:t>
      </w:r>
      <w:proofErr w:type="spellEnd"/>
      <w:r w:rsidRPr="0045440F">
        <w:rPr>
          <w:color w:val="auto"/>
          <w:lang w:eastAsia="en-US"/>
        </w:rPr>
        <w:t xml:space="preserve"> plate. Use known samples of 4-aminophenol and paracetamol as reference</w:t>
      </w:r>
      <w:r w:rsidR="00806669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>samples on the plate.</w:t>
      </w:r>
    </w:p>
    <w:p w14:paraId="7F998DA4" w14:textId="6558EA60" w:rsidR="00C21B5E" w:rsidRPr="0045440F" w:rsidRDefault="00C21B5E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45440F">
        <w:rPr>
          <w:color w:val="auto"/>
          <w:lang w:eastAsia="en-US"/>
        </w:rPr>
        <w:lastRenderedPageBreak/>
        <w:t>This could form a separate investigation to semi-quantitatively look at aqueous pH versus</w:t>
      </w:r>
      <w:r w:rsidR="00806669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>how much can be</w:t>
      </w:r>
      <w:r w:rsidR="00806669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 xml:space="preserve">extracted with ethyl ethanoate. Look at the spot size after running a </w:t>
      </w:r>
      <w:proofErr w:type="spellStart"/>
      <w:r w:rsidRPr="0045440F">
        <w:rPr>
          <w:color w:val="auto"/>
          <w:lang w:eastAsia="en-US"/>
        </w:rPr>
        <w:t>tlc</w:t>
      </w:r>
      <w:proofErr w:type="spellEnd"/>
      <w:r w:rsidRPr="0045440F">
        <w:rPr>
          <w:color w:val="auto"/>
          <w:lang w:eastAsia="en-US"/>
        </w:rPr>
        <w:t>.</w:t>
      </w:r>
      <w:r w:rsidR="00806669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>Investigate paracetamol, 4-aminophenol and</w:t>
      </w:r>
      <w:r w:rsidR="00806669">
        <w:rPr>
          <w:color w:val="auto"/>
          <w:lang w:eastAsia="en-US"/>
        </w:rPr>
        <w:t xml:space="preserve"> </w:t>
      </w:r>
      <w:r w:rsidRPr="0045440F">
        <w:rPr>
          <w:color w:val="auto"/>
          <w:lang w:eastAsia="en-US"/>
        </w:rPr>
        <w:t>4-nitrophenol.</w:t>
      </w:r>
    </w:p>
    <w:p w14:paraId="7BD232C3" w14:textId="1F244768" w:rsidR="00BE4B2B" w:rsidRPr="0045440F" w:rsidRDefault="00BE4B2B" w:rsidP="00C21B5E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sectPr w:rsidR="00BE4B2B" w:rsidRPr="0045440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E70F" w14:textId="77777777" w:rsidR="0059608C" w:rsidRDefault="0059608C" w:rsidP="00883634">
      <w:pPr>
        <w:spacing w:line="240" w:lineRule="auto"/>
      </w:pPr>
      <w:r>
        <w:separator/>
      </w:r>
    </w:p>
  </w:endnote>
  <w:endnote w:type="continuationSeparator" w:id="0">
    <w:p w14:paraId="2AC93936" w14:textId="77777777" w:rsidR="0059608C" w:rsidRDefault="0059608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08D319B2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033650" w:rsidRPr="00913427">
        <w:rPr>
          <w:rStyle w:val="Hyperlink"/>
          <w:sz w:val="16"/>
          <w:szCs w:val="16"/>
        </w:rPr>
        <w:t>https://rsc.li/49aQ2Dr</w:t>
      </w:r>
    </w:hyperlink>
    <w:r w:rsidR="0003365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2CCE" w14:textId="77777777" w:rsidR="0059608C" w:rsidRDefault="0059608C" w:rsidP="00883634">
      <w:pPr>
        <w:spacing w:line="240" w:lineRule="auto"/>
      </w:pPr>
      <w:r>
        <w:separator/>
      </w:r>
    </w:p>
  </w:footnote>
  <w:footnote w:type="continuationSeparator" w:id="0">
    <w:p w14:paraId="7D838F52" w14:textId="77777777" w:rsidR="0059608C" w:rsidRDefault="0059608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1308"/>
    <w:multiLevelType w:val="hybridMultilevel"/>
    <w:tmpl w:val="BBEE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47AF8"/>
    <w:multiLevelType w:val="hybridMultilevel"/>
    <w:tmpl w:val="B348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2FA3"/>
    <w:multiLevelType w:val="hybridMultilevel"/>
    <w:tmpl w:val="8D9C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D3DD0"/>
    <w:multiLevelType w:val="hybridMultilevel"/>
    <w:tmpl w:val="42AA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113DC"/>
    <w:multiLevelType w:val="hybridMultilevel"/>
    <w:tmpl w:val="389C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776E"/>
    <w:multiLevelType w:val="hybridMultilevel"/>
    <w:tmpl w:val="27A68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427E"/>
    <w:multiLevelType w:val="hybridMultilevel"/>
    <w:tmpl w:val="1F52D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A35DF"/>
    <w:multiLevelType w:val="hybridMultilevel"/>
    <w:tmpl w:val="D5BE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06D59"/>
    <w:multiLevelType w:val="hybridMultilevel"/>
    <w:tmpl w:val="71125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C2C88"/>
    <w:multiLevelType w:val="hybridMultilevel"/>
    <w:tmpl w:val="5566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C7CCD"/>
    <w:multiLevelType w:val="hybridMultilevel"/>
    <w:tmpl w:val="940C1978"/>
    <w:lvl w:ilvl="0" w:tplc="7BB6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3"/>
  </w:num>
  <w:num w:numId="2" w16cid:durableId="1957327590">
    <w:abstractNumId w:val="6"/>
  </w:num>
  <w:num w:numId="3" w16cid:durableId="1954752444">
    <w:abstractNumId w:val="2"/>
  </w:num>
  <w:num w:numId="4" w16cid:durableId="1674066238">
    <w:abstractNumId w:val="0"/>
  </w:num>
  <w:num w:numId="5" w16cid:durableId="1080442301">
    <w:abstractNumId w:val="15"/>
  </w:num>
  <w:num w:numId="6" w16cid:durableId="1193154731">
    <w:abstractNumId w:val="4"/>
  </w:num>
  <w:num w:numId="7" w16cid:durableId="1859611382">
    <w:abstractNumId w:val="7"/>
  </w:num>
  <w:num w:numId="8" w16cid:durableId="2053144261">
    <w:abstractNumId w:val="8"/>
  </w:num>
  <w:num w:numId="9" w16cid:durableId="1631591852">
    <w:abstractNumId w:val="24"/>
  </w:num>
  <w:num w:numId="10" w16cid:durableId="1112624827">
    <w:abstractNumId w:val="11"/>
  </w:num>
  <w:num w:numId="11" w16cid:durableId="1640695469">
    <w:abstractNumId w:val="22"/>
  </w:num>
  <w:num w:numId="12" w16cid:durableId="70323716">
    <w:abstractNumId w:val="20"/>
  </w:num>
  <w:num w:numId="13" w16cid:durableId="1084038059">
    <w:abstractNumId w:val="12"/>
  </w:num>
  <w:num w:numId="14" w16cid:durableId="90509749">
    <w:abstractNumId w:val="14"/>
  </w:num>
  <w:num w:numId="15" w16cid:durableId="525946688">
    <w:abstractNumId w:val="9"/>
  </w:num>
  <w:num w:numId="16" w16cid:durableId="1029917273">
    <w:abstractNumId w:val="1"/>
  </w:num>
  <w:num w:numId="17" w16cid:durableId="1650479034">
    <w:abstractNumId w:val="16"/>
  </w:num>
  <w:num w:numId="18" w16cid:durableId="1323705901">
    <w:abstractNumId w:val="10"/>
  </w:num>
  <w:num w:numId="19" w16cid:durableId="1278829311">
    <w:abstractNumId w:val="5"/>
  </w:num>
  <w:num w:numId="20" w16cid:durableId="1128275729">
    <w:abstractNumId w:val="23"/>
  </w:num>
  <w:num w:numId="21" w16cid:durableId="1296639681">
    <w:abstractNumId w:val="18"/>
  </w:num>
  <w:num w:numId="22" w16cid:durableId="1330214514">
    <w:abstractNumId w:val="17"/>
  </w:num>
  <w:num w:numId="23" w16cid:durableId="1994604534">
    <w:abstractNumId w:val="21"/>
  </w:num>
  <w:num w:numId="24" w16cid:durableId="1105922457">
    <w:abstractNumId w:val="25"/>
  </w:num>
  <w:num w:numId="25" w16cid:durableId="2002922881">
    <w:abstractNumId w:val="19"/>
  </w:num>
  <w:num w:numId="26" w16cid:durableId="6355260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650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AB8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2D4C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6B4"/>
    <w:rsid w:val="001D6780"/>
    <w:rsid w:val="001E2036"/>
    <w:rsid w:val="001E22AA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2624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5A6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0A1F"/>
    <w:rsid w:val="003011D1"/>
    <w:rsid w:val="00302668"/>
    <w:rsid w:val="003029BE"/>
    <w:rsid w:val="00302EED"/>
    <w:rsid w:val="0030436E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1E6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40F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0BA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4284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08C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15F"/>
    <w:rsid w:val="005C425A"/>
    <w:rsid w:val="005C4B34"/>
    <w:rsid w:val="005C6EC9"/>
    <w:rsid w:val="005C7175"/>
    <w:rsid w:val="005D10D2"/>
    <w:rsid w:val="005D1571"/>
    <w:rsid w:val="005D222A"/>
    <w:rsid w:val="005D22F6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39B2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6669"/>
    <w:rsid w:val="00807000"/>
    <w:rsid w:val="00811A70"/>
    <w:rsid w:val="00811CCC"/>
    <w:rsid w:val="00813851"/>
    <w:rsid w:val="00814027"/>
    <w:rsid w:val="00814C4D"/>
    <w:rsid w:val="00815C45"/>
    <w:rsid w:val="00816FE2"/>
    <w:rsid w:val="00820C7F"/>
    <w:rsid w:val="00821F56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453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928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20EB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223C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5EE5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5BB8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17E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3BB5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D6BCB"/>
    <w:rsid w:val="00BE0FCB"/>
    <w:rsid w:val="00BE220E"/>
    <w:rsid w:val="00BE4121"/>
    <w:rsid w:val="00BE4B2B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B5E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2A4E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2B6A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E5E12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5CE1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4D6E"/>
    <w:rsid w:val="00D46C66"/>
    <w:rsid w:val="00D47074"/>
    <w:rsid w:val="00D5040B"/>
    <w:rsid w:val="00D505A1"/>
    <w:rsid w:val="00D50804"/>
    <w:rsid w:val="00D511D8"/>
    <w:rsid w:val="00D517E6"/>
    <w:rsid w:val="00D520D0"/>
    <w:rsid w:val="00D53126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678AA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1E01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A75"/>
    <w:rsid w:val="00EE1B51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872E0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2C9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bCW4O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49aQ2D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72a3ddc-6003-415e-a262-c0a931a5a88b"/>
    <ds:schemaRef ds:uri="735c6f9d-ea00-4d07-8164-4ddae4f5c3ce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thin-layer chromatography to investigate the reactions</dc:title>
  <dc:subject>TBC</dc:subject>
  <dc:creator>Royal Society of Chemistry</dc:creator>
  <cp:keywords>RSC</cp:keywords>
  <dc:description>A practical experiment supporting student to use thin-layer chromatography to investigat reactions of paracetamol</dc:description>
  <cp:lastModifiedBy>Bobby Wells-Brown</cp:lastModifiedBy>
  <cp:revision>26</cp:revision>
  <cp:lastPrinted>2024-02-12T11:08:00Z</cp:lastPrinted>
  <dcterms:created xsi:type="dcterms:W3CDTF">2024-02-07T10:40:00Z</dcterms:created>
  <dcterms:modified xsi:type="dcterms:W3CDTF">2024-02-12T11:08:00Z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