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7220FC" w14:textId="77777777" w:rsidR="0094784C" w:rsidRDefault="0094784C" w:rsidP="0094784C">
      <w:pPr>
        <w:pStyle w:val="RSCH1"/>
      </w:pPr>
      <w:r>
        <w:t>Measuring enthalpy changes</w:t>
      </w:r>
    </w:p>
    <w:p w14:paraId="5E927B4C" w14:textId="0900A752" w:rsidR="0094784C" w:rsidRPr="00CD3FB8" w:rsidRDefault="0094784C" w:rsidP="0094784C">
      <w:pPr>
        <w:pStyle w:val="RSCBasictext"/>
        <w:rPr>
          <w:sz w:val="20"/>
          <w:szCs w:val="20"/>
        </w:rPr>
      </w:pPr>
      <w:r>
        <w:t xml:space="preserve">Teacher </w:t>
      </w:r>
      <w:r w:rsidRPr="0094784C">
        <w:t xml:space="preserve">notes, student sheet and slides </w:t>
      </w:r>
      <w:r w:rsidR="00E37B59">
        <w:t xml:space="preserve">are </w:t>
      </w:r>
      <w:r w:rsidRPr="0094784C">
        <w:t xml:space="preserve">available from </w:t>
      </w:r>
      <w:hyperlink r:id="rId7" w:history="1">
        <w:r w:rsidRPr="0094784C">
          <w:rPr>
            <w:rStyle w:val="Hyperlink"/>
            <w:b/>
            <w:bCs/>
            <w:color w:val="004976"/>
            <w:u w:val="none"/>
          </w:rPr>
          <w:t>rsc.li/3T9sEQD</w:t>
        </w:r>
      </w:hyperlink>
      <w:r w:rsidRPr="0094784C">
        <w:rPr>
          <w:color w:val="004976"/>
        </w:rPr>
        <w:t>.</w:t>
      </w:r>
    </w:p>
    <w:p w14:paraId="2CD15BD4" w14:textId="78A93695" w:rsidR="00B812B1" w:rsidRPr="00B812B1" w:rsidRDefault="0094784C" w:rsidP="00B812B1">
      <w:pPr>
        <w:pStyle w:val="RSCBasictext"/>
      </w:pPr>
      <w:r w:rsidRPr="00D246FF">
        <w:t xml:space="preserve">In </w:t>
      </w:r>
      <w:r w:rsidR="001A6CC8">
        <w:t>the</w:t>
      </w:r>
      <w:r w:rsidRPr="00D246FF">
        <w:t xml:space="preserve"> </w:t>
      </w:r>
      <w:r>
        <w:t>lesson</w:t>
      </w:r>
      <w:r w:rsidR="0044470D">
        <w:t>,</w:t>
      </w:r>
      <w:r>
        <w:t xml:space="preserve"> learners</w:t>
      </w:r>
      <w:r w:rsidRPr="00D246FF">
        <w:t xml:space="preserve"> carry out </w:t>
      </w:r>
      <w:r>
        <w:t>two practical activities</w:t>
      </w:r>
      <w:r w:rsidRPr="00D246FF">
        <w:t xml:space="preserve"> to observe what happens when water is added to anhydrous </w:t>
      </w:r>
      <w:proofErr w:type="gramStart"/>
      <w:r w:rsidRPr="00D246FF">
        <w:t>copper</w:t>
      </w:r>
      <w:r w:rsidRPr="00755531">
        <w:rPr>
          <w:smallCaps/>
        </w:rPr>
        <w:t>(</w:t>
      </w:r>
      <w:proofErr w:type="gramEnd"/>
      <w:r w:rsidRPr="00755531">
        <w:rPr>
          <w:smallCaps/>
        </w:rPr>
        <w:t>II)</w:t>
      </w:r>
      <w:r w:rsidRPr="00D246FF">
        <w:t xml:space="preserve"> </w:t>
      </w:r>
      <w:proofErr w:type="spellStart"/>
      <w:r w:rsidRPr="00D246FF">
        <w:t>sulfate</w:t>
      </w:r>
      <w:proofErr w:type="spellEnd"/>
      <w:r w:rsidRPr="00D246FF">
        <w:t>, and when hydrated copper</w:t>
      </w:r>
      <w:r w:rsidRPr="00755531">
        <w:rPr>
          <w:smallCaps/>
        </w:rPr>
        <w:t>(II)</w:t>
      </w:r>
      <w:r w:rsidRPr="00D246FF">
        <w:t xml:space="preserve"> </w:t>
      </w:r>
      <w:proofErr w:type="spellStart"/>
      <w:r w:rsidRPr="00D246FF">
        <w:t>sulfate</w:t>
      </w:r>
      <w:proofErr w:type="spellEnd"/>
      <w:r w:rsidRPr="00D246FF">
        <w:t xml:space="preserve"> is dissolved in water. This is used to introduce them to Hess’s </w:t>
      </w:r>
      <w:r w:rsidR="0030593A">
        <w:t>l</w:t>
      </w:r>
      <w:r w:rsidRPr="00D246FF">
        <w:t>aw and its application.</w:t>
      </w:r>
    </w:p>
    <w:p w14:paraId="76BCA9E1" w14:textId="794B90D0" w:rsidR="00B812B1" w:rsidRPr="00B812B1" w:rsidRDefault="00B812B1" w:rsidP="000174AC">
      <w:pPr>
        <w:pStyle w:val="RSCH2"/>
        <w:spacing w:before="360"/>
      </w:pPr>
      <w:r w:rsidRPr="00B812B1">
        <w:t>Equipment</w:t>
      </w:r>
      <w:r w:rsidR="0094784C">
        <w:t xml:space="preserve"> </w:t>
      </w:r>
    </w:p>
    <w:p w14:paraId="188A5ED0" w14:textId="77777777" w:rsidR="0094784C" w:rsidRPr="00C03585" w:rsidRDefault="0094784C" w:rsidP="00BB73A3">
      <w:pPr>
        <w:pStyle w:val="RSCBulletedlist"/>
        <w:spacing w:after="80"/>
        <w:rPr>
          <w:lang w:eastAsia="en-GB"/>
        </w:rPr>
      </w:pPr>
      <w:r w:rsidRPr="00C03585">
        <w:rPr>
          <w:lang w:eastAsia="en-GB"/>
        </w:rPr>
        <w:t xml:space="preserve">Anhydrous </w:t>
      </w:r>
      <w:proofErr w:type="gramStart"/>
      <w:r w:rsidRPr="00C03585">
        <w:rPr>
          <w:lang w:eastAsia="en-GB"/>
        </w:rPr>
        <w:t>copper</w:t>
      </w:r>
      <w:r w:rsidRPr="00755531">
        <w:rPr>
          <w:smallCaps/>
          <w:lang w:eastAsia="en-GB"/>
        </w:rPr>
        <w:t>(</w:t>
      </w:r>
      <w:proofErr w:type="gramEnd"/>
      <w:r w:rsidRPr="00755531">
        <w:rPr>
          <w:smallCaps/>
          <w:lang w:eastAsia="en-GB"/>
        </w:rPr>
        <w:t>II)</w:t>
      </w:r>
      <w:r w:rsidRPr="00C03585">
        <w:rPr>
          <w:lang w:eastAsia="en-GB"/>
        </w:rPr>
        <w:t xml:space="preserve"> </w:t>
      </w:r>
      <w:proofErr w:type="spellStart"/>
      <w:r w:rsidRPr="00C03585">
        <w:rPr>
          <w:lang w:eastAsia="en-GB"/>
        </w:rPr>
        <w:t>sulfate</w:t>
      </w:r>
      <w:proofErr w:type="spellEnd"/>
      <w:r w:rsidRPr="00C03585">
        <w:rPr>
          <w:lang w:eastAsia="en-GB"/>
        </w:rPr>
        <w:t xml:space="preserve"> powder (DANGER: corrosive, irritant, environmental hazard) </w:t>
      </w:r>
    </w:p>
    <w:p w14:paraId="0F64148D" w14:textId="77777777" w:rsidR="0094784C" w:rsidRDefault="0094784C" w:rsidP="00BB73A3">
      <w:pPr>
        <w:pStyle w:val="RSCBulletedlist"/>
        <w:spacing w:after="80"/>
        <w:rPr>
          <w:lang w:eastAsia="en-GB"/>
        </w:rPr>
      </w:pPr>
      <w:r w:rsidRPr="00C03585">
        <w:rPr>
          <w:lang w:eastAsia="en-GB"/>
        </w:rPr>
        <w:t xml:space="preserve">Hydrated </w:t>
      </w:r>
      <w:proofErr w:type="gramStart"/>
      <w:r w:rsidRPr="00C03585">
        <w:rPr>
          <w:lang w:eastAsia="en-GB"/>
        </w:rPr>
        <w:t>copper</w:t>
      </w:r>
      <w:r w:rsidRPr="00755531">
        <w:rPr>
          <w:smallCaps/>
          <w:lang w:eastAsia="en-GB"/>
        </w:rPr>
        <w:t>(</w:t>
      </w:r>
      <w:proofErr w:type="gramEnd"/>
      <w:r w:rsidRPr="00755531">
        <w:rPr>
          <w:smallCaps/>
          <w:lang w:eastAsia="en-GB"/>
        </w:rPr>
        <w:t>II)</w:t>
      </w:r>
      <w:r w:rsidRPr="00C03585">
        <w:rPr>
          <w:lang w:eastAsia="en-GB"/>
        </w:rPr>
        <w:t xml:space="preserve"> </w:t>
      </w:r>
      <w:proofErr w:type="spellStart"/>
      <w:r w:rsidRPr="00C03585">
        <w:rPr>
          <w:lang w:eastAsia="en-GB"/>
        </w:rPr>
        <w:t>sulfate</w:t>
      </w:r>
      <w:proofErr w:type="spellEnd"/>
      <w:r w:rsidRPr="00C03585">
        <w:rPr>
          <w:lang w:eastAsia="en-GB"/>
        </w:rPr>
        <w:t xml:space="preserve"> crystals (DANGER: corrosive, irritant, environmental hazard) </w:t>
      </w:r>
    </w:p>
    <w:p w14:paraId="0D75278A" w14:textId="77777777" w:rsidR="0094784C" w:rsidRPr="00C03585" w:rsidRDefault="0094784C" w:rsidP="00BB73A3">
      <w:pPr>
        <w:pStyle w:val="RSCBulletedlist"/>
        <w:spacing w:after="80"/>
        <w:rPr>
          <w:lang w:eastAsia="en-GB"/>
        </w:rPr>
      </w:pPr>
      <w:r>
        <w:rPr>
          <w:lang w:eastAsia="en-GB"/>
        </w:rPr>
        <w:t>Spatula</w:t>
      </w:r>
    </w:p>
    <w:p w14:paraId="627A8317" w14:textId="77777777" w:rsidR="0094784C" w:rsidRPr="00C03585" w:rsidRDefault="0094784C" w:rsidP="00BB73A3">
      <w:pPr>
        <w:pStyle w:val="RSCBulletedlist"/>
        <w:spacing w:after="80"/>
        <w:rPr>
          <w:lang w:eastAsia="en-GB"/>
        </w:rPr>
      </w:pPr>
      <w:r w:rsidRPr="00C03585">
        <w:rPr>
          <w:lang w:eastAsia="en-GB"/>
        </w:rPr>
        <w:t xml:space="preserve">Weighing boat (or similar) </w:t>
      </w:r>
    </w:p>
    <w:p w14:paraId="1103FEC5" w14:textId="77777777" w:rsidR="0094784C" w:rsidRDefault="0094784C" w:rsidP="00BB73A3">
      <w:pPr>
        <w:pStyle w:val="RSCBulletedlist"/>
        <w:spacing w:after="80"/>
        <w:rPr>
          <w:lang w:eastAsia="en-GB"/>
        </w:rPr>
      </w:pPr>
      <w:r>
        <w:rPr>
          <w:lang w:eastAsia="en-GB"/>
        </w:rPr>
        <w:t>Insulated cardboard</w:t>
      </w:r>
      <w:r w:rsidRPr="00C03585">
        <w:rPr>
          <w:lang w:eastAsia="en-GB"/>
        </w:rPr>
        <w:t xml:space="preserve"> cup</w:t>
      </w:r>
      <w:r>
        <w:rPr>
          <w:lang w:eastAsia="en-GB"/>
        </w:rPr>
        <w:t>*</w:t>
      </w:r>
    </w:p>
    <w:p w14:paraId="2D0DE3E2" w14:textId="156CC4D1" w:rsidR="001A6CC8" w:rsidRPr="00C03585" w:rsidRDefault="001A6CC8" w:rsidP="00BB73A3">
      <w:pPr>
        <w:pStyle w:val="RSCBulletedlist"/>
        <w:spacing w:after="80"/>
        <w:rPr>
          <w:lang w:eastAsia="en-GB"/>
        </w:rPr>
      </w:pPr>
      <w:r>
        <w:rPr>
          <w:lang w:eastAsia="en-GB"/>
        </w:rPr>
        <w:t>Beaker (to fit cup inside)</w:t>
      </w:r>
    </w:p>
    <w:p w14:paraId="6151973E" w14:textId="77777777" w:rsidR="0094784C" w:rsidRPr="00C03585" w:rsidRDefault="0094784C" w:rsidP="00BB73A3">
      <w:pPr>
        <w:pStyle w:val="RSCBulletedlist"/>
        <w:spacing w:after="80"/>
        <w:rPr>
          <w:lang w:eastAsia="en-GB"/>
        </w:rPr>
      </w:pPr>
      <w:r w:rsidRPr="00C03585">
        <w:rPr>
          <w:lang w:eastAsia="en-GB"/>
        </w:rPr>
        <w:t>Thermometer reading 0</w:t>
      </w:r>
      <w:r>
        <w:rPr>
          <w:lang w:eastAsia="en-GB"/>
        </w:rPr>
        <w:t>–</w:t>
      </w:r>
      <w:r w:rsidRPr="00C03585">
        <w:rPr>
          <w:lang w:eastAsia="en-GB"/>
        </w:rPr>
        <w:t>110</w:t>
      </w:r>
      <w:r w:rsidRPr="00C03585">
        <w:rPr>
          <w:lang w:val="en-US" w:eastAsia="en-GB"/>
        </w:rPr>
        <w:t>°C</w:t>
      </w:r>
      <w:r w:rsidRPr="00C03585">
        <w:rPr>
          <w:lang w:eastAsia="en-GB"/>
        </w:rPr>
        <w:t xml:space="preserve"> in 0.1</w:t>
      </w:r>
      <w:r w:rsidRPr="00C03585">
        <w:rPr>
          <w:lang w:val="en-US" w:eastAsia="en-GB"/>
        </w:rPr>
        <w:t>°C</w:t>
      </w:r>
      <w:r w:rsidRPr="00C03585">
        <w:rPr>
          <w:lang w:eastAsia="en-GB"/>
        </w:rPr>
        <w:t xml:space="preserve"> increments </w:t>
      </w:r>
    </w:p>
    <w:p w14:paraId="122410E6" w14:textId="77777777" w:rsidR="0094784C" w:rsidRPr="00C03585" w:rsidRDefault="0094784C" w:rsidP="00BB73A3">
      <w:pPr>
        <w:pStyle w:val="RSCBulletedlist"/>
        <w:spacing w:after="80"/>
        <w:rPr>
          <w:lang w:eastAsia="en-GB"/>
        </w:rPr>
      </w:pPr>
      <w:r w:rsidRPr="00C03585">
        <w:rPr>
          <w:lang w:eastAsia="en-GB"/>
        </w:rPr>
        <w:t>Water</w:t>
      </w:r>
    </w:p>
    <w:p w14:paraId="0CA90633" w14:textId="77777777" w:rsidR="0094784C" w:rsidRPr="00C03585" w:rsidRDefault="0094784C" w:rsidP="00BB73A3">
      <w:pPr>
        <w:pStyle w:val="RSCBulletedlist"/>
        <w:spacing w:after="80"/>
        <w:rPr>
          <w:lang w:eastAsia="en-GB"/>
        </w:rPr>
      </w:pPr>
      <w:r w:rsidRPr="00C03585">
        <w:rPr>
          <w:lang w:eastAsia="en-GB"/>
        </w:rPr>
        <w:t>50 cm</w:t>
      </w:r>
      <w:r w:rsidRPr="00C03585">
        <w:rPr>
          <w:vertAlign w:val="superscript"/>
          <w:lang w:eastAsia="en-GB"/>
        </w:rPr>
        <w:t>3</w:t>
      </w:r>
      <w:r w:rsidRPr="00C03585">
        <w:rPr>
          <w:lang w:eastAsia="en-GB"/>
        </w:rPr>
        <w:t xml:space="preserve"> pipette or measuring cylinder </w:t>
      </w:r>
    </w:p>
    <w:p w14:paraId="4B5F804F" w14:textId="77777777" w:rsidR="0094784C" w:rsidRPr="00C03585" w:rsidRDefault="0094784C" w:rsidP="00BB73A3">
      <w:pPr>
        <w:pStyle w:val="RSCBulletedlist"/>
        <w:spacing w:after="80"/>
        <w:rPr>
          <w:lang w:eastAsia="en-GB"/>
        </w:rPr>
      </w:pPr>
      <w:r w:rsidRPr="00C03585">
        <w:rPr>
          <w:lang w:eastAsia="en-GB"/>
        </w:rPr>
        <w:t xml:space="preserve">Access to a </w:t>
      </w:r>
      <w:r>
        <w:rPr>
          <w:lang w:eastAsia="en-GB"/>
        </w:rPr>
        <w:t xml:space="preserve">mass </w:t>
      </w:r>
      <w:r w:rsidRPr="00C03585">
        <w:rPr>
          <w:lang w:eastAsia="en-GB"/>
        </w:rPr>
        <w:t xml:space="preserve">balance </w:t>
      </w:r>
    </w:p>
    <w:p w14:paraId="29CA2FDE" w14:textId="77777777" w:rsidR="0094784C" w:rsidRDefault="0094784C" w:rsidP="00BB73A3">
      <w:pPr>
        <w:pStyle w:val="RSCBulletedlist"/>
        <w:spacing w:after="80"/>
        <w:rPr>
          <w:lang w:eastAsia="en-GB"/>
        </w:rPr>
      </w:pPr>
      <w:r>
        <w:rPr>
          <w:lang w:eastAsia="en-GB"/>
        </w:rPr>
        <w:t>Safety glasses</w:t>
      </w:r>
    </w:p>
    <w:p w14:paraId="7F3EC2A4" w14:textId="4E74E1EA" w:rsidR="00D00AB5" w:rsidRDefault="00B812B1" w:rsidP="000174AC">
      <w:pPr>
        <w:pStyle w:val="RSCH2"/>
        <w:spacing w:before="400"/>
      </w:pPr>
      <w:r w:rsidRPr="00B812B1">
        <w:t>Preparation</w:t>
      </w:r>
    </w:p>
    <w:tbl>
      <w:tblPr>
        <w:tblW w:w="92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3823"/>
        <w:gridCol w:w="5386"/>
      </w:tblGrid>
      <w:tr w:rsidR="00876ED1" w14:paraId="1801DD13" w14:textId="77777777" w:rsidTr="00BB73A3">
        <w:trPr>
          <w:trHeight w:val="482"/>
          <w:jc w:val="center"/>
        </w:trPr>
        <w:tc>
          <w:tcPr>
            <w:tcW w:w="3823" w:type="dxa"/>
            <w:shd w:val="clear" w:color="auto" w:fill="BFDDE8"/>
            <w:vAlign w:val="center"/>
          </w:tcPr>
          <w:p w14:paraId="3C5018C2" w14:textId="77777777" w:rsidR="00876ED1" w:rsidRDefault="00876ED1" w:rsidP="00936A7A">
            <w:pPr>
              <w:ind w:left="22"/>
              <w:rPr>
                <w:rFonts w:ascii="Century Gothic" w:eastAsia="Century Gothic" w:hAnsi="Century Gothic" w:cs="Century Gothic"/>
                <w:b/>
                <w:color w:val="004976"/>
              </w:rPr>
            </w:pPr>
            <w:r>
              <w:rPr>
                <w:rFonts w:ascii="Century Gothic" w:eastAsia="Century Gothic" w:hAnsi="Century Gothic" w:cs="Century Gothic"/>
                <w:b/>
                <w:color w:val="004976"/>
              </w:rPr>
              <w:t>Chemicals supplied for the practical</w:t>
            </w:r>
          </w:p>
        </w:tc>
        <w:tc>
          <w:tcPr>
            <w:tcW w:w="5386" w:type="dxa"/>
            <w:shd w:val="clear" w:color="auto" w:fill="BFDDE8"/>
            <w:vAlign w:val="center"/>
          </w:tcPr>
          <w:p w14:paraId="67D2AB48" w14:textId="77777777" w:rsidR="00876ED1" w:rsidRDefault="00876ED1" w:rsidP="00936A7A">
            <w:pPr>
              <w:ind w:left="22"/>
              <w:rPr>
                <w:rFonts w:ascii="Century Gothic" w:eastAsia="Century Gothic" w:hAnsi="Century Gothic" w:cs="Century Gothic"/>
                <w:b/>
                <w:color w:val="004976"/>
              </w:rPr>
            </w:pPr>
            <w:r>
              <w:rPr>
                <w:rFonts w:ascii="Century Gothic" w:eastAsia="Century Gothic" w:hAnsi="Century Gothic" w:cs="Century Gothic"/>
                <w:b/>
                <w:color w:val="004976"/>
              </w:rPr>
              <w:t>Hazards</w:t>
            </w:r>
          </w:p>
        </w:tc>
      </w:tr>
      <w:tr w:rsidR="00876ED1" w14:paraId="18C0E8A2" w14:textId="77777777" w:rsidTr="00BB73A3">
        <w:trPr>
          <w:trHeight w:val="482"/>
          <w:jc w:val="center"/>
        </w:trPr>
        <w:tc>
          <w:tcPr>
            <w:tcW w:w="3823" w:type="dxa"/>
          </w:tcPr>
          <w:p w14:paraId="398D1657" w14:textId="77777777" w:rsidR="00E76020" w:rsidRPr="00E76020" w:rsidRDefault="00E76020" w:rsidP="00936A7A">
            <w:pPr>
              <w:ind w:left="22"/>
              <w:jc w:val="left"/>
              <w:rPr>
                <w:rFonts w:ascii="Century Gothic" w:hAnsi="Century Gothic"/>
                <w:lang w:eastAsia="en-GB"/>
              </w:rPr>
            </w:pPr>
            <w:r w:rsidRPr="00E76020">
              <w:rPr>
                <w:rFonts w:ascii="Century Gothic" w:hAnsi="Century Gothic"/>
                <w:lang w:eastAsia="en-GB"/>
              </w:rPr>
              <w:t xml:space="preserve">Anhydrous </w:t>
            </w:r>
            <w:proofErr w:type="gramStart"/>
            <w:r w:rsidRPr="00E76020">
              <w:rPr>
                <w:rFonts w:ascii="Century Gothic" w:hAnsi="Century Gothic"/>
                <w:lang w:eastAsia="en-GB"/>
              </w:rPr>
              <w:t>copper</w:t>
            </w:r>
            <w:r w:rsidRPr="00E76020">
              <w:rPr>
                <w:rFonts w:ascii="Century Gothic" w:hAnsi="Century Gothic"/>
                <w:smallCaps/>
                <w:sz w:val="22"/>
                <w:lang w:eastAsia="en-GB"/>
              </w:rPr>
              <w:t>(</w:t>
            </w:r>
            <w:proofErr w:type="gramEnd"/>
            <w:r w:rsidRPr="00E76020">
              <w:rPr>
                <w:rFonts w:ascii="Century Gothic" w:hAnsi="Century Gothic"/>
                <w:smallCaps/>
                <w:sz w:val="22"/>
                <w:lang w:eastAsia="en-GB"/>
              </w:rPr>
              <w:t>II)</w:t>
            </w:r>
            <w:r w:rsidRPr="00E76020">
              <w:rPr>
                <w:rFonts w:ascii="Century Gothic" w:hAnsi="Century Gothic"/>
                <w:lang w:eastAsia="en-GB"/>
              </w:rPr>
              <w:t xml:space="preserve"> </w:t>
            </w:r>
            <w:proofErr w:type="spellStart"/>
            <w:r w:rsidRPr="00E76020">
              <w:rPr>
                <w:rFonts w:ascii="Century Gothic" w:hAnsi="Century Gothic"/>
                <w:lang w:eastAsia="en-GB"/>
              </w:rPr>
              <w:t>sulfate</w:t>
            </w:r>
            <w:proofErr w:type="spellEnd"/>
            <w:r w:rsidRPr="00E76020">
              <w:rPr>
                <w:rFonts w:ascii="Century Gothic" w:hAnsi="Century Gothic"/>
                <w:lang w:eastAsia="en-GB"/>
              </w:rPr>
              <w:t xml:space="preserve"> powder </w:t>
            </w:r>
          </w:p>
          <w:p w14:paraId="5B25DC0A" w14:textId="46293B3D" w:rsidR="00876ED1" w:rsidRDefault="00876ED1" w:rsidP="00936A7A">
            <w:pPr>
              <w:ind w:left="22"/>
              <w:jc w:val="left"/>
              <w:rPr>
                <w:rFonts w:ascii="Century Gothic" w:eastAsia="Century Gothic" w:hAnsi="Century Gothic" w:cs="Century Gothic"/>
              </w:rPr>
            </w:pPr>
            <w:bookmarkStart w:id="0" w:name="_Hlk175658929"/>
            <w:r>
              <w:rPr>
                <w:noProof/>
              </w:rPr>
              <w:drawing>
                <wp:inline distT="0" distB="0" distL="0" distR="0" wp14:anchorId="09AABD63" wp14:editId="51211A6F">
                  <wp:extent cx="457200" cy="457200"/>
                  <wp:effectExtent l="0" t="0" r="0" b="0"/>
                  <wp:docPr id="829685836" name="Picture 829685836" descr="Hazard symbol meaning irrit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9685836" name="Picture 829685836" descr="Hazard symbol meaning irritant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923BD">
              <w:rPr>
                <w:noProof/>
              </w:rPr>
              <w:t xml:space="preserve"> </w:t>
            </w:r>
            <w:r w:rsidR="00E923BD">
              <w:rPr>
                <w:noProof/>
              </w:rPr>
              <w:drawing>
                <wp:inline distT="0" distB="0" distL="0" distR="0" wp14:anchorId="44A2AC86" wp14:editId="2FC17070">
                  <wp:extent cx="457200" cy="457200"/>
                  <wp:effectExtent l="0" t="0" r="0" b="0"/>
                  <wp:docPr id="258311882" name="Picture 258311882" descr="Hazard symbol meaning corrosiv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311882" name="Picture 258311882" descr="Hazard symbol meaning corrosive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923BD">
              <w:rPr>
                <w:noProof/>
              </w:rPr>
              <w:drawing>
                <wp:inline distT="0" distB="0" distL="0" distR="0" wp14:anchorId="36D27D42" wp14:editId="441C2E9C">
                  <wp:extent cx="529200" cy="457200"/>
                  <wp:effectExtent l="0" t="0" r="4445" b="0"/>
                  <wp:docPr id="1896527694" name="Picture 1" descr="Hazard symbol meaning environmentally damag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4566906" name="Picture 1" descr="Hazard symbol meaning environmentally damagi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8523"/>
                          <a:stretch/>
                        </pic:blipFill>
                        <pic:spPr bwMode="auto">
                          <a:xfrm>
                            <a:off x="0" y="0"/>
                            <a:ext cx="529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bookmarkEnd w:id="0"/>
          <w:p w14:paraId="56774924" w14:textId="22BFA63E" w:rsidR="00876ED1" w:rsidRPr="007C4F50" w:rsidRDefault="00E76020" w:rsidP="00936A7A">
            <w:pPr>
              <w:ind w:left="22"/>
              <w:jc w:val="left"/>
              <w:rPr>
                <w:rFonts w:ascii="Century Gothic" w:eastAsia="Century Gothic" w:hAnsi="Century Gothic" w:cs="Century Gothic"/>
                <w:b/>
                <w:bCs/>
              </w:rPr>
            </w:pPr>
            <w:r>
              <w:rPr>
                <w:rFonts w:ascii="Century Gothic" w:eastAsia="Century Gothic" w:hAnsi="Century Gothic" w:cs="Century Gothic"/>
                <w:b/>
                <w:bCs/>
              </w:rPr>
              <w:t>DANGER</w:t>
            </w:r>
          </w:p>
        </w:tc>
        <w:tc>
          <w:tcPr>
            <w:tcW w:w="5386" w:type="dxa"/>
          </w:tcPr>
          <w:p w14:paraId="1DA8C241" w14:textId="77777777" w:rsidR="00E76020" w:rsidRPr="00E76020" w:rsidRDefault="00E76020" w:rsidP="000174AC">
            <w:pPr>
              <w:pStyle w:val="RSCBasictext"/>
              <w:spacing w:after="80"/>
              <w:rPr>
                <w:sz w:val="20"/>
                <w:szCs w:val="20"/>
              </w:rPr>
            </w:pPr>
            <w:r w:rsidRPr="00E76020">
              <w:rPr>
                <w:sz w:val="20"/>
                <w:szCs w:val="20"/>
              </w:rPr>
              <w:t>Harmful if swallowed.</w:t>
            </w:r>
          </w:p>
          <w:p w14:paraId="70F66955" w14:textId="77777777" w:rsidR="000174AC" w:rsidRDefault="00876ED1" w:rsidP="000174AC">
            <w:pPr>
              <w:pStyle w:val="RSCBasictext"/>
              <w:spacing w:after="80"/>
              <w:rPr>
                <w:sz w:val="20"/>
                <w:szCs w:val="20"/>
              </w:rPr>
            </w:pPr>
            <w:r w:rsidRPr="00E76020">
              <w:rPr>
                <w:sz w:val="20"/>
                <w:szCs w:val="20"/>
              </w:rPr>
              <w:t>Causes skin irritation.</w:t>
            </w:r>
          </w:p>
          <w:p w14:paraId="393DDE4B" w14:textId="0FF62502" w:rsidR="00876ED1" w:rsidRPr="00E76020" w:rsidRDefault="00876ED1" w:rsidP="000174AC">
            <w:pPr>
              <w:pStyle w:val="RSCBasictext"/>
              <w:spacing w:after="80"/>
              <w:rPr>
                <w:sz w:val="20"/>
                <w:szCs w:val="20"/>
              </w:rPr>
            </w:pPr>
            <w:r w:rsidRPr="00E76020">
              <w:rPr>
                <w:sz w:val="20"/>
                <w:szCs w:val="20"/>
              </w:rPr>
              <w:t xml:space="preserve">Causes serious eye </w:t>
            </w:r>
            <w:r w:rsidR="00E76020" w:rsidRPr="00E76020">
              <w:rPr>
                <w:sz w:val="20"/>
                <w:szCs w:val="20"/>
              </w:rPr>
              <w:t>damage</w:t>
            </w:r>
            <w:r w:rsidRPr="00E76020">
              <w:rPr>
                <w:sz w:val="20"/>
                <w:szCs w:val="20"/>
              </w:rPr>
              <w:t>.</w:t>
            </w:r>
          </w:p>
          <w:p w14:paraId="2AA6C536" w14:textId="77777777" w:rsidR="00E76020" w:rsidRPr="00E76020" w:rsidRDefault="00E76020" w:rsidP="000174AC">
            <w:pPr>
              <w:pStyle w:val="RSCBasictext"/>
              <w:spacing w:after="80"/>
              <w:rPr>
                <w:sz w:val="20"/>
                <w:szCs w:val="20"/>
                <w:lang w:eastAsia="en-GB"/>
              </w:rPr>
            </w:pPr>
            <w:r w:rsidRPr="00E76020">
              <w:rPr>
                <w:sz w:val="20"/>
                <w:szCs w:val="20"/>
                <w:lang w:eastAsia="en-GB"/>
              </w:rPr>
              <w:t xml:space="preserve">Very toxic to aquatic life with long lasting effects. </w:t>
            </w:r>
          </w:p>
          <w:p w14:paraId="0D637216" w14:textId="16FB1DDF" w:rsidR="00E76020" w:rsidRPr="00E76020" w:rsidRDefault="00E76020" w:rsidP="000174AC">
            <w:pPr>
              <w:pStyle w:val="RSCBasictext"/>
              <w:spacing w:after="80"/>
              <w:rPr>
                <w:sz w:val="20"/>
                <w:szCs w:val="20"/>
                <w:lang w:eastAsia="en-GB"/>
              </w:rPr>
            </w:pPr>
            <w:r w:rsidRPr="00E76020">
              <w:rPr>
                <w:sz w:val="20"/>
                <w:szCs w:val="20"/>
                <w:lang w:eastAsia="en-GB"/>
              </w:rPr>
              <w:t>Dangerous in contact with water</w:t>
            </w:r>
            <w:r>
              <w:rPr>
                <w:sz w:val="20"/>
                <w:szCs w:val="20"/>
                <w:lang w:eastAsia="en-GB"/>
              </w:rPr>
              <w:t xml:space="preserve">: </w:t>
            </w:r>
            <w:r w:rsidRPr="00E76020">
              <w:rPr>
                <w:sz w:val="20"/>
                <w:szCs w:val="20"/>
                <w:lang w:eastAsia="en-GB"/>
              </w:rPr>
              <w:t>exothermic reaction</w:t>
            </w:r>
            <w:r>
              <w:rPr>
                <w:sz w:val="20"/>
                <w:szCs w:val="20"/>
                <w:lang w:eastAsia="en-GB"/>
              </w:rPr>
              <w:t xml:space="preserve">, heat is generated. </w:t>
            </w:r>
            <w:r w:rsidR="000174AC">
              <w:rPr>
                <w:sz w:val="20"/>
                <w:szCs w:val="20"/>
                <w:lang w:eastAsia="en-GB"/>
              </w:rPr>
              <w:t>Use only small amounts and a</w:t>
            </w:r>
            <w:r w:rsidRPr="00E76020">
              <w:rPr>
                <w:sz w:val="20"/>
                <w:szCs w:val="20"/>
                <w:lang w:eastAsia="en-GB"/>
              </w:rPr>
              <w:t xml:space="preserve">dd water with care. </w:t>
            </w:r>
          </w:p>
          <w:p w14:paraId="4D9CF070" w14:textId="72A89F5C" w:rsidR="00876ED1" w:rsidRDefault="00876ED1" w:rsidP="000174AC">
            <w:pPr>
              <w:pStyle w:val="RSCBasictext"/>
              <w:spacing w:after="80"/>
              <w:rPr>
                <w:rFonts w:eastAsia="Century Gothic" w:cs="Century Gothic"/>
              </w:rPr>
            </w:pPr>
            <w:r w:rsidRPr="00E76020">
              <w:rPr>
                <w:sz w:val="20"/>
                <w:szCs w:val="20"/>
              </w:rPr>
              <w:t xml:space="preserve">See CLEAPSS </w:t>
            </w:r>
            <w:proofErr w:type="spellStart"/>
            <w:r w:rsidRPr="00E76020">
              <w:rPr>
                <w:sz w:val="20"/>
                <w:szCs w:val="20"/>
              </w:rPr>
              <w:t>Hazcard</w:t>
            </w:r>
            <w:proofErr w:type="spellEnd"/>
            <w:r w:rsidRPr="00E76020">
              <w:rPr>
                <w:sz w:val="20"/>
                <w:szCs w:val="20"/>
              </w:rPr>
              <w:t xml:space="preserve"> </w:t>
            </w:r>
            <w:hyperlink r:id="rId11" w:history="1">
              <w:r w:rsidR="00E76020" w:rsidRPr="00E76020">
                <w:rPr>
                  <w:rStyle w:val="Hyperlink"/>
                  <w:sz w:val="20"/>
                  <w:szCs w:val="20"/>
                  <w:lang w:eastAsia="en-GB"/>
                </w:rPr>
                <w:t>HC027c</w:t>
              </w:r>
            </w:hyperlink>
            <w:r w:rsidRPr="00E76020">
              <w:rPr>
                <w:sz w:val="20"/>
                <w:szCs w:val="20"/>
              </w:rPr>
              <w:t>.</w:t>
            </w:r>
          </w:p>
        </w:tc>
      </w:tr>
      <w:tr w:rsidR="00876ED1" w14:paraId="44495FCC" w14:textId="77777777" w:rsidTr="00BB73A3">
        <w:trPr>
          <w:trHeight w:val="482"/>
          <w:jc w:val="center"/>
        </w:trPr>
        <w:tc>
          <w:tcPr>
            <w:tcW w:w="3823" w:type="dxa"/>
          </w:tcPr>
          <w:p w14:paraId="0881C6F6" w14:textId="49D4536C" w:rsidR="00366538" w:rsidRPr="00E76020" w:rsidRDefault="00E76020" w:rsidP="000174AC">
            <w:pPr>
              <w:jc w:val="left"/>
              <w:rPr>
                <w:rFonts w:ascii="Century Gothic" w:hAnsi="Century Gothic"/>
                <w:lang w:eastAsia="en-GB"/>
              </w:rPr>
            </w:pPr>
            <w:r w:rsidRPr="00E76020">
              <w:rPr>
                <w:rFonts w:ascii="Century Gothic" w:hAnsi="Century Gothic"/>
                <w:lang w:eastAsia="en-GB"/>
              </w:rPr>
              <w:t xml:space="preserve">Hydrated </w:t>
            </w:r>
            <w:proofErr w:type="gramStart"/>
            <w:r w:rsidRPr="00E76020">
              <w:rPr>
                <w:rFonts w:ascii="Century Gothic" w:hAnsi="Century Gothic"/>
                <w:lang w:eastAsia="en-GB"/>
              </w:rPr>
              <w:t>copper</w:t>
            </w:r>
            <w:r w:rsidRPr="00E76020">
              <w:rPr>
                <w:rFonts w:ascii="Century Gothic" w:hAnsi="Century Gothic"/>
                <w:smallCaps/>
                <w:sz w:val="22"/>
                <w:lang w:eastAsia="en-GB"/>
              </w:rPr>
              <w:t>(</w:t>
            </w:r>
            <w:proofErr w:type="gramEnd"/>
            <w:r w:rsidRPr="00E76020">
              <w:rPr>
                <w:rFonts w:ascii="Century Gothic" w:hAnsi="Century Gothic"/>
                <w:smallCaps/>
                <w:sz w:val="22"/>
                <w:lang w:eastAsia="en-GB"/>
              </w:rPr>
              <w:t>II)</w:t>
            </w:r>
            <w:r w:rsidRPr="00E76020">
              <w:rPr>
                <w:rFonts w:ascii="Century Gothic" w:hAnsi="Century Gothic"/>
                <w:lang w:eastAsia="en-GB"/>
              </w:rPr>
              <w:t xml:space="preserve"> </w:t>
            </w:r>
            <w:proofErr w:type="spellStart"/>
            <w:r w:rsidRPr="00E76020">
              <w:rPr>
                <w:rFonts w:ascii="Century Gothic" w:hAnsi="Century Gothic"/>
                <w:lang w:eastAsia="en-GB"/>
              </w:rPr>
              <w:t>sulfate</w:t>
            </w:r>
            <w:proofErr w:type="spellEnd"/>
            <w:r w:rsidRPr="00E76020">
              <w:rPr>
                <w:rFonts w:ascii="Century Gothic" w:hAnsi="Century Gothic"/>
                <w:lang w:eastAsia="en-GB"/>
              </w:rPr>
              <w:t xml:space="preserve"> crystals</w:t>
            </w:r>
            <w:r w:rsidRPr="00C03585">
              <w:rPr>
                <w:lang w:eastAsia="en-GB"/>
              </w:rPr>
              <w:t xml:space="preserve"> </w:t>
            </w:r>
          </w:p>
          <w:p w14:paraId="552FEBA9" w14:textId="77777777" w:rsidR="00E923BD" w:rsidRDefault="00E923BD" w:rsidP="00E923BD">
            <w:pPr>
              <w:ind w:left="22"/>
              <w:jc w:val="left"/>
              <w:rPr>
                <w:rFonts w:ascii="Century Gothic" w:eastAsia="Century Gothic" w:hAnsi="Century Gothic" w:cs="Century Gothic"/>
              </w:rPr>
            </w:pPr>
            <w:r>
              <w:rPr>
                <w:noProof/>
              </w:rPr>
              <w:drawing>
                <wp:inline distT="0" distB="0" distL="0" distR="0" wp14:anchorId="2A70971A" wp14:editId="3C6178B8">
                  <wp:extent cx="457200" cy="457200"/>
                  <wp:effectExtent l="0" t="0" r="0" b="0"/>
                  <wp:docPr id="1465458665" name="Picture 1465458665" descr="Hazard symbol meaning irrit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9685836" name="Picture 829685836" descr="Hazard symbol meaning irritant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0260EE22" wp14:editId="5B9C462C">
                  <wp:extent cx="457200" cy="457200"/>
                  <wp:effectExtent l="0" t="0" r="0" b="0"/>
                  <wp:docPr id="202939472" name="Picture 202939472" descr="Hazard symbol meaning corrosiv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311882" name="Picture 258311882" descr="Hazard symbol meaning corrosive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53CEC31" wp14:editId="5D3DD4FD">
                  <wp:extent cx="529200" cy="457200"/>
                  <wp:effectExtent l="0" t="0" r="4445" b="0"/>
                  <wp:docPr id="1948168923" name="Picture 1" descr="Hazard symbol meaning environmentally damag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4566906" name="Picture 1" descr="Hazard symbol meaning environmentally damagi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8523"/>
                          <a:stretch/>
                        </pic:blipFill>
                        <pic:spPr bwMode="auto">
                          <a:xfrm>
                            <a:off x="0" y="0"/>
                            <a:ext cx="529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A2CADC4" w14:textId="49BD293B" w:rsidR="00876ED1" w:rsidRDefault="00366538" w:rsidP="000174AC">
            <w:pPr>
              <w:jc w:val="left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b/>
                <w:bCs/>
              </w:rPr>
              <w:t>DANGER</w:t>
            </w:r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  <w:tc>
          <w:tcPr>
            <w:tcW w:w="5386" w:type="dxa"/>
          </w:tcPr>
          <w:p w14:paraId="675B88E4" w14:textId="77777777" w:rsidR="00E76020" w:rsidRPr="00E76020" w:rsidRDefault="00E76020" w:rsidP="000174AC">
            <w:pPr>
              <w:spacing w:after="80"/>
              <w:jc w:val="left"/>
              <w:rPr>
                <w:rFonts w:ascii="Century Gothic" w:hAnsi="Century Gothic"/>
                <w:lang w:eastAsia="en-GB"/>
              </w:rPr>
            </w:pPr>
            <w:r w:rsidRPr="00E76020">
              <w:rPr>
                <w:rFonts w:ascii="Century Gothic" w:hAnsi="Century Gothic"/>
                <w:lang w:eastAsia="en-GB"/>
              </w:rPr>
              <w:t>Harmful if swallowed.</w:t>
            </w:r>
          </w:p>
          <w:p w14:paraId="6D77754C" w14:textId="77777777" w:rsidR="00E76020" w:rsidRPr="00E76020" w:rsidRDefault="00E76020" w:rsidP="000174AC">
            <w:pPr>
              <w:spacing w:after="80"/>
              <w:jc w:val="left"/>
              <w:rPr>
                <w:rFonts w:ascii="Century Gothic" w:hAnsi="Century Gothic"/>
                <w:lang w:eastAsia="en-GB"/>
              </w:rPr>
            </w:pPr>
            <w:r w:rsidRPr="00E76020">
              <w:rPr>
                <w:rFonts w:ascii="Century Gothic" w:hAnsi="Century Gothic"/>
                <w:lang w:eastAsia="en-GB"/>
              </w:rPr>
              <w:t>Causes skin irritation.</w:t>
            </w:r>
          </w:p>
          <w:p w14:paraId="487C4C89" w14:textId="77777777" w:rsidR="00E76020" w:rsidRPr="00E76020" w:rsidRDefault="00E76020" w:rsidP="000174AC">
            <w:pPr>
              <w:spacing w:after="80"/>
              <w:jc w:val="left"/>
              <w:rPr>
                <w:rFonts w:ascii="Century Gothic" w:hAnsi="Century Gothic"/>
                <w:lang w:eastAsia="en-GB"/>
              </w:rPr>
            </w:pPr>
            <w:r w:rsidRPr="00E76020">
              <w:rPr>
                <w:rFonts w:ascii="Century Gothic" w:hAnsi="Century Gothic"/>
                <w:lang w:eastAsia="en-GB"/>
              </w:rPr>
              <w:t>Causes serious eye damage.</w:t>
            </w:r>
          </w:p>
          <w:p w14:paraId="68A7B517" w14:textId="77777777" w:rsidR="00876ED1" w:rsidRDefault="00E76020" w:rsidP="000174AC">
            <w:pPr>
              <w:spacing w:after="80"/>
              <w:jc w:val="left"/>
              <w:rPr>
                <w:rFonts w:ascii="Century Gothic" w:hAnsi="Century Gothic"/>
                <w:lang w:eastAsia="en-GB"/>
              </w:rPr>
            </w:pPr>
            <w:r w:rsidRPr="00E76020">
              <w:rPr>
                <w:rFonts w:ascii="Century Gothic" w:hAnsi="Century Gothic"/>
                <w:lang w:eastAsia="en-GB"/>
              </w:rPr>
              <w:t>Very toxic to aquatic life with long lasting effects.</w:t>
            </w:r>
          </w:p>
          <w:p w14:paraId="0AC1B4FF" w14:textId="648C6D96" w:rsidR="00E76020" w:rsidRPr="00E76020" w:rsidRDefault="00E76020" w:rsidP="000174AC">
            <w:pPr>
              <w:spacing w:after="80"/>
              <w:jc w:val="left"/>
              <w:rPr>
                <w:rFonts w:ascii="Century Gothic" w:eastAsia="Century Gothic" w:hAnsi="Century Gothic" w:cs="Century Gothic"/>
                <w:vertAlign w:val="superscript"/>
              </w:rPr>
            </w:pPr>
            <w:r w:rsidRPr="00E76020">
              <w:rPr>
                <w:rFonts w:ascii="Century Gothic" w:hAnsi="Century Gothic"/>
              </w:rPr>
              <w:t xml:space="preserve">See CLEAPSS </w:t>
            </w:r>
            <w:proofErr w:type="spellStart"/>
            <w:r w:rsidRPr="00E76020">
              <w:rPr>
                <w:rFonts w:ascii="Century Gothic" w:hAnsi="Century Gothic"/>
              </w:rPr>
              <w:t>Hazcard</w:t>
            </w:r>
            <w:proofErr w:type="spellEnd"/>
            <w:r w:rsidRPr="00E76020">
              <w:rPr>
                <w:rFonts w:ascii="Century Gothic" w:hAnsi="Century Gothic"/>
              </w:rPr>
              <w:t xml:space="preserve"> </w:t>
            </w:r>
            <w:hyperlink r:id="rId12" w:history="1">
              <w:r w:rsidRPr="00E76020">
                <w:rPr>
                  <w:rStyle w:val="Hyperlink"/>
                  <w:rFonts w:ascii="Century Gothic" w:hAnsi="Century Gothic"/>
                  <w:lang w:eastAsia="en-GB"/>
                </w:rPr>
                <w:t>HC027c</w:t>
              </w:r>
            </w:hyperlink>
            <w:r w:rsidRPr="00E76020">
              <w:rPr>
                <w:rFonts w:ascii="Century Gothic" w:hAnsi="Century Gothic"/>
              </w:rPr>
              <w:t>.</w:t>
            </w:r>
          </w:p>
        </w:tc>
      </w:tr>
    </w:tbl>
    <w:p w14:paraId="6C22B248" w14:textId="1D4B4BAE" w:rsidR="00876ED1" w:rsidRDefault="000174AC" w:rsidP="001A6CC8">
      <w:pPr>
        <w:pStyle w:val="RSCH3"/>
      </w:pPr>
      <w:r>
        <w:lastRenderedPageBreak/>
        <w:t>Additional</w:t>
      </w:r>
      <w:r w:rsidR="00876ED1">
        <w:t xml:space="preserve"> notes</w:t>
      </w:r>
    </w:p>
    <w:p w14:paraId="0E1EB618" w14:textId="4FF7E3BD" w:rsidR="00E76020" w:rsidRDefault="00E76020" w:rsidP="00E76020">
      <w:pPr>
        <w:pStyle w:val="RSCBasictext"/>
        <w:rPr>
          <w:lang w:eastAsia="en-GB"/>
        </w:rPr>
      </w:pPr>
      <w:r w:rsidRPr="00A84218">
        <w:rPr>
          <w:lang w:eastAsia="en-GB"/>
        </w:rPr>
        <w:t xml:space="preserve">Read our standard health </w:t>
      </w:r>
      <w:r>
        <w:rPr>
          <w:lang w:eastAsia="en-GB"/>
        </w:rPr>
        <w:t xml:space="preserve">and </w:t>
      </w:r>
      <w:r w:rsidRPr="00A84218">
        <w:rPr>
          <w:lang w:eastAsia="en-GB"/>
        </w:rPr>
        <w:t xml:space="preserve">safety guidance </w:t>
      </w:r>
      <w:r>
        <w:rPr>
          <w:lang w:eastAsia="en-GB"/>
        </w:rPr>
        <w:t>(</w:t>
      </w:r>
      <w:hyperlink r:id="rId13" w:history="1">
        <w:r w:rsidRPr="00E559EF">
          <w:rPr>
            <w:rStyle w:val="Hyperlink"/>
            <w:b/>
            <w:bCs/>
            <w:color w:val="004976"/>
            <w:u w:val="none"/>
            <w:lang w:eastAsia="en-GB"/>
          </w:rPr>
          <w:t>rsc.li/3zyJLkx</w:t>
        </w:r>
      </w:hyperlink>
      <w:r w:rsidRPr="00E559EF">
        <w:rPr>
          <w:lang w:eastAsia="en-GB"/>
        </w:rPr>
        <w:t>)</w:t>
      </w:r>
      <w:r>
        <w:rPr>
          <w:lang w:eastAsia="en-GB"/>
        </w:rPr>
        <w:t xml:space="preserve"> </w:t>
      </w:r>
      <w:r w:rsidRPr="00A84218">
        <w:rPr>
          <w:lang w:eastAsia="en-GB"/>
        </w:rPr>
        <w:t>and carry out a risk assessment before running any live practical.</w:t>
      </w:r>
    </w:p>
    <w:p w14:paraId="0B796EE0" w14:textId="0E9FD902" w:rsidR="008B7510" w:rsidRDefault="008B7510" w:rsidP="008B7510">
      <w:pPr>
        <w:pStyle w:val="RSCBasictext"/>
      </w:pPr>
      <w:r>
        <w:rPr>
          <w:lang w:eastAsia="en-GB"/>
        </w:rPr>
        <w:t xml:space="preserve">You can use </w:t>
      </w:r>
      <w:r w:rsidR="00B9773A">
        <w:rPr>
          <w:lang w:eastAsia="en-GB"/>
        </w:rPr>
        <w:t>h</w:t>
      </w:r>
      <w:r w:rsidRPr="00E76020">
        <w:rPr>
          <w:lang w:eastAsia="en-GB"/>
        </w:rPr>
        <w:t xml:space="preserve">ydrated </w:t>
      </w:r>
      <w:proofErr w:type="gramStart"/>
      <w:r w:rsidRPr="00E76020">
        <w:rPr>
          <w:lang w:eastAsia="en-GB"/>
        </w:rPr>
        <w:t>copper</w:t>
      </w:r>
      <w:r w:rsidRPr="00E76020">
        <w:rPr>
          <w:smallCaps/>
          <w:lang w:eastAsia="en-GB"/>
        </w:rPr>
        <w:t>(</w:t>
      </w:r>
      <w:proofErr w:type="gramEnd"/>
      <w:r w:rsidRPr="00E76020">
        <w:rPr>
          <w:smallCaps/>
          <w:lang w:eastAsia="en-GB"/>
        </w:rPr>
        <w:t>II)</w:t>
      </w:r>
      <w:r w:rsidRPr="00E76020">
        <w:rPr>
          <w:lang w:eastAsia="en-GB"/>
        </w:rPr>
        <w:t xml:space="preserve"> </w:t>
      </w:r>
      <w:proofErr w:type="spellStart"/>
      <w:r w:rsidRPr="00E76020">
        <w:rPr>
          <w:lang w:eastAsia="en-GB"/>
        </w:rPr>
        <w:t>sulfate</w:t>
      </w:r>
      <w:proofErr w:type="spellEnd"/>
      <w:r w:rsidRPr="00E76020">
        <w:rPr>
          <w:lang w:eastAsia="en-GB"/>
        </w:rPr>
        <w:t xml:space="preserve"> </w:t>
      </w:r>
      <w:r>
        <w:t xml:space="preserve">crystals prepared by students in other experiments for this practical. </w:t>
      </w:r>
    </w:p>
    <w:p w14:paraId="0314B99A" w14:textId="5D303006" w:rsidR="00BB73A3" w:rsidRPr="008B7510" w:rsidRDefault="00BB73A3" w:rsidP="008B7510">
      <w:pPr>
        <w:pStyle w:val="RSCBasictext"/>
        <w:rPr>
          <w:lang w:eastAsia="en-GB"/>
        </w:rPr>
      </w:pPr>
      <w:r>
        <w:rPr>
          <w:lang w:eastAsia="en-GB"/>
        </w:rPr>
        <w:t>The cup is more stable if placed inside a beaker</w:t>
      </w:r>
      <w:r w:rsidR="00844518">
        <w:rPr>
          <w:lang w:eastAsia="en-GB"/>
        </w:rPr>
        <w:t>,</w:t>
      </w:r>
      <w:r>
        <w:rPr>
          <w:lang w:eastAsia="en-GB"/>
        </w:rPr>
        <w:t xml:space="preserve"> reducing the risk of accidents.</w:t>
      </w:r>
    </w:p>
    <w:p w14:paraId="7700F498" w14:textId="44C8A370" w:rsidR="001A6CC8" w:rsidRDefault="008B7510" w:rsidP="00E76020">
      <w:pPr>
        <w:pStyle w:val="RSCBasictext"/>
        <w:rPr>
          <w:lang w:eastAsia="en-GB"/>
        </w:rPr>
      </w:pPr>
      <w:r>
        <w:rPr>
          <w:lang w:eastAsia="en-GB"/>
        </w:rPr>
        <w:t xml:space="preserve">*Originally this practical called for a polystyrene </w:t>
      </w:r>
      <w:proofErr w:type="gramStart"/>
      <w:r>
        <w:rPr>
          <w:lang w:eastAsia="en-GB"/>
        </w:rPr>
        <w:t>cup</w:t>
      </w:r>
      <w:proofErr w:type="gramEnd"/>
      <w:r>
        <w:rPr>
          <w:lang w:eastAsia="en-GB"/>
        </w:rPr>
        <w:t xml:space="preserve"> but they are no longer available for sale in the UK (since October 2003). An insulated cardboard cup produces similar results. Use insulated beakers if available. Alternatively</w:t>
      </w:r>
      <w:r w:rsidR="00ED6648">
        <w:rPr>
          <w:lang w:eastAsia="en-GB"/>
        </w:rPr>
        <w:t>,</w:t>
      </w:r>
      <w:r>
        <w:rPr>
          <w:lang w:eastAsia="en-GB"/>
        </w:rPr>
        <w:t xml:space="preserve"> wrap a small beaker with insulation material, e.g. bubble wrap and place inside a larger beaker</w:t>
      </w:r>
      <w:r w:rsidR="001A6CC8">
        <w:rPr>
          <w:lang w:eastAsia="en-GB"/>
        </w:rPr>
        <w:t xml:space="preserve">. </w:t>
      </w:r>
    </w:p>
    <w:p w14:paraId="55F2085E" w14:textId="158CE769" w:rsidR="00876ED1" w:rsidRPr="00B812B1" w:rsidRDefault="00876ED1" w:rsidP="00876ED1">
      <w:pPr>
        <w:pStyle w:val="RSCH2"/>
      </w:pPr>
      <w:r>
        <w:t>Disposal</w:t>
      </w:r>
    </w:p>
    <w:p w14:paraId="18036979" w14:textId="04424FE2" w:rsidR="00876ED1" w:rsidRPr="00B812B1" w:rsidRDefault="00E76020" w:rsidP="00E76020">
      <w:pPr>
        <w:pStyle w:val="RSCBulletedlist"/>
        <w:numPr>
          <w:ilvl w:val="0"/>
          <w:numId w:val="0"/>
        </w:numPr>
        <w:ind w:left="363" w:hanging="363"/>
      </w:pPr>
      <w:r w:rsidRPr="00E76020">
        <w:t>Dilute solutions to below 0.2 M then rinse away down a foul-water drain.</w:t>
      </w:r>
    </w:p>
    <w:sectPr w:rsidR="00876ED1" w:rsidRPr="00B812B1" w:rsidSect="001A6CC8">
      <w:headerReference w:type="default" r:id="rId14"/>
      <w:footerReference w:type="default" r:id="rId15"/>
      <w:pgSz w:w="11906" w:h="16838"/>
      <w:pgMar w:top="1418" w:right="1440" w:bottom="1440" w:left="1440" w:header="431" w:footer="4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088188" w14:textId="77777777" w:rsidR="00966066" w:rsidRDefault="00966066" w:rsidP="008A1B0B">
      <w:pPr>
        <w:spacing w:after="0" w:line="240" w:lineRule="auto"/>
      </w:pPr>
      <w:r>
        <w:separator/>
      </w:r>
    </w:p>
  </w:endnote>
  <w:endnote w:type="continuationSeparator" w:id="0">
    <w:p w14:paraId="7EB5DE82" w14:textId="77777777" w:rsidR="00966066" w:rsidRDefault="00966066" w:rsidP="008A1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2BFB8F8" w14:textId="77777777" w:rsidR="00B226A7" w:rsidRDefault="00B226A7" w:rsidP="00B226A7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13A1D64A" w14:textId="6734044E" w:rsidR="00231C1C" w:rsidRPr="00B226A7" w:rsidRDefault="00B226A7" w:rsidP="002F2A90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876ED1">
      <w:rPr>
        <w:rFonts w:ascii="Century Gothic" w:hAnsi="Century Gothic"/>
        <w:sz w:val="16"/>
        <w:szCs w:val="16"/>
      </w:rPr>
      <w:t>4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</w:t>
    </w:r>
    <w:r w:rsidR="00362CD9">
      <w:rPr>
        <w:rFonts w:ascii="Century Gothic" w:hAnsi="Century Gothic"/>
        <w:sz w:val="16"/>
        <w:szCs w:val="16"/>
      </w:rPr>
      <w:t>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630585" w14:textId="77777777" w:rsidR="00966066" w:rsidRDefault="00966066" w:rsidP="008A1B0B">
      <w:pPr>
        <w:spacing w:after="0" w:line="240" w:lineRule="auto"/>
      </w:pPr>
      <w:r>
        <w:separator/>
      </w:r>
    </w:p>
  </w:footnote>
  <w:footnote w:type="continuationSeparator" w:id="0">
    <w:p w14:paraId="21548B99" w14:textId="77777777" w:rsidR="00966066" w:rsidRDefault="00966066" w:rsidP="008A1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AB0CAA" w14:textId="1C391F41" w:rsidR="008A1B0B" w:rsidRDefault="0094784C" w:rsidP="008D7A53">
    <w:pPr>
      <w:spacing w:after="60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color w:val="004976"/>
        <w:sz w:val="30"/>
        <w:szCs w:val="30"/>
      </w:rPr>
      <w:t>Assessment for learning</w:t>
    </w:r>
    <w:r w:rsidR="00077CE2">
      <w:rPr>
        <w:rFonts w:ascii="Century Gothic" w:hAnsi="Century Gothic"/>
        <w:b/>
        <w:bCs/>
        <w:noProof/>
        <w:color w:val="004976"/>
        <w:sz w:val="30"/>
        <w:szCs w:val="30"/>
      </w:rPr>
      <w:drawing>
        <wp:anchor distT="0" distB="0" distL="114300" distR="114300" simplePos="0" relativeHeight="251658751" behindDoc="0" locked="0" layoutInCell="1" allowOverlap="1" wp14:anchorId="3B9B61EF" wp14:editId="1DCEC54E">
          <wp:simplePos x="0" y="0"/>
          <wp:positionH relativeFrom="column">
            <wp:posOffset>-539750</wp:posOffset>
          </wp:positionH>
          <wp:positionV relativeFrom="paragraph">
            <wp:posOffset>31115</wp:posOffset>
          </wp:positionV>
          <wp:extent cx="2161036" cy="362713"/>
          <wp:effectExtent l="0" t="0" r="0" b="0"/>
          <wp:wrapNone/>
          <wp:docPr id="1840741696" name="Picture 184074169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0741696" name="Picture 184074169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1036" cy="3627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F76A3">
      <w:rPr>
        <w:rFonts w:ascii="Century Gothic" w:hAnsi="Century Gothic"/>
        <w:b/>
        <w:bCs/>
        <w:noProof/>
        <w:color w:val="004976"/>
        <w:sz w:val="30"/>
        <w:szCs w:val="30"/>
      </w:rPr>
      <w:drawing>
        <wp:anchor distT="0" distB="0" distL="114300" distR="114300" simplePos="0" relativeHeight="251658240" behindDoc="1" locked="0" layoutInCell="1" allowOverlap="1" wp14:anchorId="119FB73F" wp14:editId="084A7F39">
          <wp:simplePos x="0" y="0"/>
          <wp:positionH relativeFrom="column">
            <wp:posOffset>-927101</wp:posOffset>
          </wp:positionH>
          <wp:positionV relativeFrom="paragraph">
            <wp:posOffset>-267335</wp:posOffset>
          </wp:positionV>
          <wp:extent cx="7569919" cy="10712450"/>
          <wp:effectExtent l="0" t="0" r="0" b="0"/>
          <wp:wrapNone/>
          <wp:docPr id="1206012800" name="Picture 120601280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6012800" name="Picture 120601280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80222" cy="10727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7BF2">
      <w:rPr>
        <w:rFonts w:ascii="Century Gothic" w:hAnsi="Century Gothic"/>
        <w:b/>
        <w:bCs/>
        <w:color w:val="004976"/>
        <w:sz w:val="24"/>
        <w:szCs w:val="24"/>
      </w:rPr>
      <w:t xml:space="preserve"> </w:t>
    </w:r>
    <w:r w:rsidR="00B226A7">
      <w:rPr>
        <w:rFonts w:ascii="Century Gothic" w:hAnsi="Century Gothic"/>
        <w:b/>
        <w:bCs/>
        <w:color w:val="000000" w:themeColor="text1"/>
        <w:sz w:val="24"/>
        <w:szCs w:val="24"/>
      </w:rPr>
      <w:t>1</w:t>
    </w:r>
    <w:r w:rsidR="00146FCD">
      <w:rPr>
        <w:rFonts w:ascii="Century Gothic" w:hAnsi="Century Gothic"/>
        <w:b/>
        <w:bCs/>
        <w:color w:val="000000" w:themeColor="text1"/>
        <w:sz w:val="24"/>
        <w:szCs w:val="24"/>
      </w:rPr>
      <w:t>6</w:t>
    </w:r>
    <w:r w:rsidR="00B226A7">
      <w:rPr>
        <w:rFonts w:ascii="Century Gothic" w:hAnsi="Century Gothic"/>
        <w:b/>
        <w:bCs/>
        <w:color w:val="000000" w:themeColor="text1"/>
        <w:sz w:val="24"/>
        <w:szCs w:val="24"/>
      </w:rPr>
      <w:t>–1</w:t>
    </w:r>
    <w:r w:rsidR="00BA3729">
      <w:rPr>
        <w:rFonts w:ascii="Century Gothic" w:hAnsi="Century Gothic"/>
        <w:b/>
        <w:bCs/>
        <w:color w:val="000000" w:themeColor="text1"/>
        <w:sz w:val="24"/>
        <w:szCs w:val="24"/>
      </w:rPr>
      <w:t>8</w:t>
    </w:r>
    <w:r w:rsidR="00146FCD">
      <w:rPr>
        <w:rFonts w:ascii="Century Gothic" w:hAnsi="Century Gothic"/>
        <w:b/>
        <w:bCs/>
        <w:color w:val="000000" w:themeColor="text1"/>
        <w:sz w:val="24"/>
        <w:szCs w:val="24"/>
      </w:rPr>
      <w:t xml:space="preserve"> years</w:t>
    </w:r>
  </w:p>
  <w:p w14:paraId="4B29840B" w14:textId="77777777" w:rsidR="0094784C" w:rsidRPr="00CD3FB8" w:rsidRDefault="0094784C" w:rsidP="0094784C">
    <w:pPr>
      <w:spacing w:after="86"/>
      <w:ind w:right="-850"/>
      <w:jc w:val="right"/>
      <w:rPr>
        <w:rFonts w:ascii="Century Gothic" w:hAnsi="Century Gothic"/>
        <w:b/>
        <w:bCs/>
      </w:rPr>
    </w:pPr>
    <w:bookmarkStart w:id="1" w:name="_Hlk175664445"/>
    <w:r w:rsidRPr="00CD3FB8">
      <w:rPr>
        <w:rFonts w:ascii="Century Gothic" w:hAnsi="Century Gothic"/>
        <w:b/>
        <w:bCs/>
        <w:color w:val="000000" w:themeColor="text1"/>
      </w:rPr>
      <w:t xml:space="preserve">Available from </w:t>
    </w:r>
    <w:hyperlink r:id="rId3" w:history="1">
      <w:r w:rsidRPr="00CD3FB8">
        <w:rPr>
          <w:rStyle w:val="Hyperlink"/>
          <w:rFonts w:ascii="Century Gothic" w:hAnsi="Century Gothic"/>
          <w:b/>
          <w:bCs/>
          <w:color w:val="004976"/>
          <w:u w:val="none"/>
        </w:rPr>
        <w:t>rsc.li/3T9sEQD</w:t>
      </w:r>
    </w:hyperlink>
  </w:p>
  <w:bookmarkEnd w:id="1"/>
  <w:p w14:paraId="014B122C" w14:textId="3CB6C828" w:rsidR="00557BF2" w:rsidRPr="00557BF2" w:rsidRDefault="00557BF2" w:rsidP="0094784C">
    <w:pPr>
      <w:pStyle w:val="RSCURL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F72F4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D71290E"/>
    <w:multiLevelType w:val="hybridMultilevel"/>
    <w:tmpl w:val="76B44E72"/>
    <w:lvl w:ilvl="0" w:tplc="8E40D1DC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004976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47A72"/>
    <w:multiLevelType w:val="hybridMultilevel"/>
    <w:tmpl w:val="01881FC8"/>
    <w:lvl w:ilvl="0" w:tplc="B6AC983E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004976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0671E"/>
    <w:multiLevelType w:val="hybridMultilevel"/>
    <w:tmpl w:val="8EF02762"/>
    <w:lvl w:ilvl="0" w:tplc="BEE61F6A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" w15:restartNumberingAfterBreak="0">
    <w:nsid w:val="304F146F"/>
    <w:multiLevelType w:val="hybridMultilevel"/>
    <w:tmpl w:val="A628BB06"/>
    <w:lvl w:ilvl="0" w:tplc="FB94E9A2">
      <w:start w:val="1"/>
      <w:numFmt w:val="decimal"/>
      <w:pStyle w:val="RSCLearningobjectives"/>
      <w:lvlText w:val="%1"/>
      <w:lvlJc w:val="left"/>
      <w:pPr>
        <w:ind w:left="360" w:hanging="360"/>
      </w:pPr>
      <w:rPr>
        <w:rFonts w:hint="default"/>
        <w:b/>
        <w:i w:val="0"/>
        <w:color w:val="00497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A20BF"/>
    <w:multiLevelType w:val="multilevel"/>
    <w:tmpl w:val="ED0A4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CD2538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46127D7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49329C9"/>
    <w:multiLevelType w:val="multilevel"/>
    <w:tmpl w:val="95D6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CF1D2C"/>
    <w:multiLevelType w:val="multilevel"/>
    <w:tmpl w:val="0809001D"/>
    <w:styleLink w:val="CurrentList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F875158"/>
    <w:multiLevelType w:val="multilevel"/>
    <w:tmpl w:val="B8F65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7911C3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98875C5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3C70CA9"/>
    <w:multiLevelType w:val="multilevel"/>
    <w:tmpl w:val="D10E9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810684F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9E95F09"/>
    <w:multiLevelType w:val="multilevel"/>
    <w:tmpl w:val="35241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1837750"/>
    <w:multiLevelType w:val="multilevel"/>
    <w:tmpl w:val="38DA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9060895">
    <w:abstractNumId w:val="17"/>
  </w:num>
  <w:num w:numId="2" w16cid:durableId="1196118066">
    <w:abstractNumId w:val="10"/>
  </w:num>
  <w:num w:numId="3" w16cid:durableId="1684013957">
    <w:abstractNumId w:val="5"/>
  </w:num>
  <w:num w:numId="4" w16cid:durableId="94137991">
    <w:abstractNumId w:val="8"/>
  </w:num>
  <w:num w:numId="5" w16cid:durableId="1272542815">
    <w:abstractNumId w:val="14"/>
  </w:num>
  <w:num w:numId="6" w16cid:durableId="1578638302">
    <w:abstractNumId w:val="16"/>
  </w:num>
  <w:num w:numId="7" w16cid:durableId="1878011126">
    <w:abstractNumId w:val="1"/>
  </w:num>
  <w:num w:numId="8" w16cid:durableId="1100568462">
    <w:abstractNumId w:val="4"/>
  </w:num>
  <w:num w:numId="9" w16cid:durableId="920867388">
    <w:abstractNumId w:val="3"/>
  </w:num>
  <w:num w:numId="10" w16cid:durableId="287249174">
    <w:abstractNumId w:val="2"/>
  </w:num>
  <w:num w:numId="11" w16cid:durableId="508838778">
    <w:abstractNumId w:val="11"/>
  </w:num>
  <w:num w:numId="12" w16cid:durableId="793208404">
    <w:abstractNumId w:val="2"/>
    <w:lvlOverride w:ilvl="0">
      <w:startOverride w:val="1"/>
    </w:lvlOverride>
  </w:num>
  <w:num w:numId="13" w16cid:durableId="388769935">
    <w:abstractNumId w:val="13"/>
  </w:num>
  <w:num w:numId="14" w16cid:durableId="1188257077">
    <w:abstractNumId w:val="12"/>
  </w:num>
  <w:num w:numId="15" w16cid:durableId="1530991476">
    <w:abstractNumId w:val="9"/>
  </w:num>
  <w:num w:numId="16" w16cid:durableId="1791362892">
    <w:abstractNumId w:val="0"/>
  </w:num>
  <w:num w:numId="17" w16cid:durableId="1278371683">
    <w:abstractNumId w:val="6"/>
  </w:num>
  <w:num w:numId="18" w16cid:durableId="529685319">
    <w:abstractNumId w:val="7"/>
  </w:num>
  <w:num w:numId="19" w16cid:durableId="1403873514">
    <w:abstractNumId w:val="3"/>
    <w:lvlOverride w:ilvl="0">
      <w:startOverride w:val="1"/>
    </w:lvlOverride>
  </w:num>
  <w:num w:numId="20" w16cid:durableId="10088253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5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40C"/>
    <w:rsid w:val="000174AC"/>
    <w:rsid w:val="00046615"/>
    <w:rsid w:val="00077CE2"/>
    <w:rsid w:val="00087C7B"/>
    <w:rsid w:val="000B0210"/>
    <w:rsid w:val="000B0FE6"/>
    <w:rsid w:val="000B7D38"/>
    <w:rsid w:val="000E6E48"/>
    <w:rsid w:val="00132F41"/>
    <w:rsid w:val="00146FCD"/>
    <w:rsid w:val="00147637"/>
    <w:rsid w:val="00180C62"/>
    <w:rsid w:val="001A25E2"/>
    <w:rsid w:val="001A6CC8"/>
    <w:rsid w:val="001E28C6"/>
    <w:rsid w:val="002304A7"/>
    <w:rsid w:val="00231C1C"/>
    <w:rsid w:val="002548A4"/>
    <w:rsid w:val="002549BE"/>
    <w:rsid w:val="002C2223"/>
    <w:rsid w:val="002D34BA"/>
    <w:rsid w:val="002D34EF"/>
    <w:rsid w:val="002E47CA"/>
    <w:rsid w:val="002F2A90"/>
    <w:rsid w:val="002F35A3"/>
    <w:rsid w:val="0030593A"/>
    <w:rsid w:val="003059AB"/>
    <w:rsid w:val="00362CD9"/>
    <w:rsid w:val="00366538"/>
    <w:rsid w:val="003716B9"/>
    <w:rsid w:val="00383A44"/>
    <w:rsid w:val="003C643A"/>
    <w:rsid w:val="003D6657"/>
    <w:rsid w:val="0044470D"/>
    <w:rsid w:val="0044650F"/>
    <w:rsid w:val="0046389A"/>
    <w:rsid w:val="00466630"/>
    <w:rsid w:val="00485CEA"/>
    <w:rsid w:val="004E76E8"/>
    <w:rsid w:val="00512B6D"/>
    <w:rsid w:val="00516F80"/>
    <w:rsid w:val="00521050"/>
    <w:rsid w:val="0052289F"/>
    <w:rsid w:val="00552B33"/>
    <w:rsid w:val="00557BF2"/>
    <w:rsid w:val="005631E6"/>
    <w:rsid w:val="005B4AFE"/>
    <w:rsid w:val="005F286E"/>
    <w:rsid w:val="006820BE"/>
    <w:rsid w:val="006B67AC"/>
    <w:rsid w:val="006D790E"/>
    <w:rsid w:val="006E13FB"/>
    <w:rsid w:val="007042E5"/>
    <w:rsid w:val="00747FE6"/>
    <w:rsid w:val="007507F5"/>
    <w:rsid w:val="007A08F5"/>
    <w:rsid w:val="00806625"/>
    <w:rsid w:val="008143D9"/>
    <w:rsid w:val="00835B9C"/>
    <w:rsid w:val="00844518"/>
    <w:rsid w:val="00851FE5"/>
    <w:rsid w:val="00876ED1"/>
    <w:rsid w:val="0089187A"/>
    <w:rsid w:val="00893F3D"/>
    <w:rsid w:val="008A1B0B"/>
    <w:rsid w:val="008B34F9"/>
    <w:rsid w:val="008B7510"/>
    <w:rsid w:val="008D7A53"/>
    <w:rsid w:val="009272D0"/>
    <w:rsid w:val="00936A7A"/>
    <w:rsid w:val="0094784C"/>
    <w:rsid w:val="00961330"/>
    <w:rsid w:val="00966066"/>
    <w:rsid w:val="00A13442"/>
    <w:rsid w:val="00A302B1"/>
    <w:rsid w:val="00A5348B"/>
    <w:rsid w:val="00A571EB"/>
    <w:rsid w:val="00A5740C"/>
    <w:rsid w:val="00A725C3"/>
    <w:rsid w:val="00A8549D"/>
    <w:rsid w:val="00AC34B3"/>
    <w:rsid w:val="00AE2D6D"/>
    <w:rsid w:val="00B045E0"/>
    <w:rsid w:val="00B226A7"/>
    <w:rsid w:val="00B30A6E"/>
    <w:rsid w:val="00B67A03"/>
    <w:rsid w:val="00B71E66"/>
    <w:rsid w:val="00B812B1"/>
    <w:rsid w:val="00B9773A"/>
    <w:rsid w:val="00BA3729"/>
    <w:rsid w:val="00BB73A3"/>
    <w:rsid w:val="00BE56F6"/>
    <w:rsid w:val="00BF7CBA"/>
    <w:rsid w:val="00C1703F"/>
    <w:rsid w:val="00C2446B"/>
    <w:rsid w:val="00C43346"/>
    <w:rsid w:val="00CD3159"/>
    <w:rsid w:val="00CD5E3C"/>
    <w:rsid w:val="00CF6E3E"/>
    <w:rsid w:val="00CF775D"/>
    <w:rsid w:val="00D00AB5"/>
    <w:rsid w:val="00D17CC0"/>
    <w:rsid w:val="00D45D99"/>
    <w:rsid w:val="00D60D30"/>
    <w:rsid w:val="00DD432E"/>
    <w:rsid w:val="00E044B3"/>
    <w:rsid w:val="00E21AFA"/>
    <w:rsid w:val="00E37B59"/>
    <w:rsid w:val="00E714C4"/>
    <w:rsid w:val="00E76020"/>
    <w:rsid w:val="00E8584D"/>
    <w:rsid w:val="00E923BD"/>
    <w:rsid w:val="00EC7EFF"/>
    <w:rsid w:val="00ED6648"/>
    <w:rsid w:val="00F80ECB"/>
    <w:rsid w:val="00FC3B24"/>
    <w:rsid w:val="00FF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37F640"/>
  <w15:docId w15:val="{97B57F59-A71F-4D21-A021-04BAA789B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SC Ed Normal"/>
    <w:qFormat/>
    <w:rsid w:val="006D790E"/>
    <w:pPr>
      <w:spacing w:after="120" w:line="280" w:lineRule="atLeast"/>
      <w:jc w:val="both"/>
      <w:outlineLvl w:val="0"/>
    </w:pPr>
    <w:rPr>
      <w:rFonts w:ascii="Arial" w:hAnsi="Arial" w:cs="Arial"/>
      <w:sz w:val="20"/>
      <w:szCs w:val="20"/>
      <w:lang w:eastAsia="zh-CN"/>
    </w:rPr>
  </w:style>
  <w:style w:type="paragraph" w:styleId="Heading1">
    <w:name w:val="heading 1"/>
    <w:basedOn w:val="Normal"/>
    <w:link w:val="Heading1Char"/>
    <w:uiPriority w:val="9"/>
    <w:qFormat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A574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A574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40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5740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5740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byline">
    <w:name w:val="bylin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uthor">
    <w:name w:val="author"/>
    <w:basedOn w:val="DefaultParagraphFont"/>
    <w:rsid w:val="00A5740C"/>
  </w:style>
  <w:style w:type="character" w:styleId="Hyperlink">
    <w:name w:val="Hyperlink"/>
    <w:basedOn w:val="DefaultParagraphFont"/>
    <w:uiPriority w:val="99"/>
    <w:unhideWhenUsed/>
    <w:rsid w:val="00A5740C"/>
    <w:rPr>
      <w:color w:val="0000FF"/>
      <w:u w:val="single"/>
    </w:rPr>
  </w:style>
  <w:style w:type="paragraph" w:customStyle="1" w:styleId="mobileshare">
    <w:name w:val="mobileshar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mmenttext">
    <w:name w:val="commenttext"/>
    <w:basedOn w:val="DefaultParagraphFont"/>
    <w:rsid w:val="00A5740C"/>
  </w:style>
  <w:style w:type="character" w:customStyle="1" w:styleId="tooltiptext">
    <w:name w:val="tooltiptext"/>
    <w:basedOn w:val="DefaultParagraphFont"/>
    <w:rsid w:val="00A5740C"/>
  </w:style>
  <w:style w:type="paragraph" w:styleId="NormalWeb">
    <w:name w:val="Normal (Web)"/>
    <w:basedOn w:val="Normal"/>
    <w:uiPriority w:val="99"/>
    <w:semiHidden/>
    <w:unhideWhenUsed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B0B"/>
  </w:style>
  <w:style w:type="paragraph" w:styleId="Footer">
    <w:name w:val="footer"/>
    <w:basedOn w:val="Normal"/>
    <w:link w:val="Foot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B0B"/>
  </w:style>
  <w:style w:type="character" w:styleId="PageNumber">
    <w:name w:val="page number"/>
    <w:basedOn w:val="DefaultParagraphFont"/>
    <w:uiPriority w:val="99"/>
    <w:semiHidden/>
    <w:unhideWhenUsed/>
    <w:rsid w:val="006D790E"/>
  </w:style>
  <w:style w:type="paragraph" w:customStyle="1" w:styleId="RSCBasictext">
    <w:name w:val="RSC Basic text"/>
    <w:basedOn w:val="Normal"/>
    <w:qFormat/>
    <w:rsid w:val="006D790E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paragraph" w:customStyle="1" w:styleId="RSC2-columntabs">
    <w:name w:val="RSC 2-column tabs"/>
    <w:basedOn w:val="RSCBasictext"/>
    <w:qFormat/>
    <w:rsid w:val="006D790E"/>
    <w:pPr>
      <w:tabs>
        <w:tab w:val="left" w:pos="363"/>
        <w:tab w:val="left" w:pos="4536"/>
      </w:tabs>
    </w:pPr>
  </w:style>
  <w:style w:type="paragraph" w:customStyle="1" w:styleId="RSCBulletedlist">
    <w:name w:val="RSC Bulleted list"/>
    <w:basedOn w:val="RSCBasictext"/>
    <w:qFormat/>
    <w:rsid w:val="00B30A6E"/>
    <w:pPr>
      <w:numPr>
        <w:numId w:val="7"/>
      </w:numPr>
    </w:pPr>
  </w:style>
  <w:style w:type="paragraph" w:customStyle="1" w:styleId="RSCEducationHeading2">
    <w:name w:val="RSC Education Heading2"/>
    <w:basedOn w:val="Heading1"/>
    <w:next w:val="Heading2"/>
    <w:qFormat/>
    <w:rsid w:val="006D790E"/>
    <w:pPr>
      <w:spacing w:before="0" w:beforeAutospacing="0" w:after="120" w:afterAutospacing="0" w:line="280" w:lineRule="atLeast"/>
    </w:pPr>
    <w:rPr>
      <w:rFonts w:ascii="Arial" w:eastAsiaTheme="minorHAnsi" w:hAnsi="Arial" w:cs="Arial"/>
      <w:bCs w:val="0"/>
      <w:kern w:val="0"/>
      <w:sz w:val="24"/>
      <w:szCs w:val="20"/>
      <w:lang w:eastAsia="zh-CN"/>
    </w:rPr>
  </w:style>
  <w:style w:type="paragraph" w:customStyle="1" w:styleId="RSCEducationHeading3">
    <w:name w:val="RSC Education Heading3"/>
    <w:basedOn w:val="Heading2"/>
    <w:next w:val="Heading3"/>
    <w:qFormat/>
    <w:rsid w:val="006D790E"/>
    <w:pPr>
      <w:keepNext/>
      <w:keepLines/>
      <w:spacing w:before="200" w:beforeAutospacing="0" w:after="0" w:afterAutospacing="0" w:line="280" w:lineRule="atLeast"/>
    </w:pPr>
    <w:rPr>
      <w:rFonts w:ascii="Arial" w:eastAsiaTheme="majorEastAsia" w:hAnsi="Arial" w:cstheme="majorBidi"/>
      <w:sz w:val="22"/>
      <w:szCs w:val="26"/>
      <w:lang w:eastAsia="zh-CN"/>
    </w:rPr>
  </w:style>
  <w:style w:type="paragraph" w:customStyle="1" w:styleId="RSCH1">
    <w:name w:val="RSC H1"/>
    <w:basedOn w:val="Normal"/>
    <w:qFormat/>
    <w:rsid w:val="000B0210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004976"/>
      <w:sz w:val="36"/>
      <w:szCs w:val="36"/>
    </w:rPr>
  </w:style>
  <w:style w:type="paragraph" w:customStyle="1" w:styleId="RSCH2">
    <w:name w:val="RSC H2"/>
    <w:basedOn w:val="Normal"/>
    <w:qFormat/>
    <w:rsid w:val="00B30A6E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004976"/>
      <w:sz w:val="28"/>
      <w:szCs w:val="22"/>
    </w:rPr>
  </w:style>
  <w:style w:type="paragraph" w:customStyle="1" w:styleId="RSCH3">
    <w:name w:val="RSC H3"/>
    <w:basedOn w:val="RSCBasictext"/>
    <w:qFormat/>
    <w:rsid w:val="00B30A6E"/>
    <w:pPr>
      <w:spacing w:before="300"/>
    </w:pPr>
    <w:rPr>
      <w:b/>
      <w:bCs/>
      <w:color w:val="004976"/>
    </w:rPr>
  </w:style>
  <w:style w:type="paragraph" w:customStyle="1" w:styleId="RSCLearningobjectives">
    <w:name w:val="RSC Learning objectives"/>
    <w:basedOn w:val="Normal"/>
    <w:qFormat/>
    <w:rsid w:val="00B812B1"/>
    <w:pPr>
      <w:numPr>
        <w:numId w:val="8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letteredlist">
    <w:name w:val="RSC lettered list"/>
    <w:basedOn w:val="Normal"/>
    <w:qFormat/>
    <w:rsid w:val="00A13442"/>
    <w:pPr>
      <w:numPr>
        <w:numId w:val="9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Marks">
    <w:name w:val="RSC Marks"/>
    <w:basedOn w:val="Normal"/>
    <w:qFormat/>
    <w:rsid w:val="00B30A6E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004976"/>
      <w:sz w:val="18"/>
      <w:szCs w:val="22"/>
    </w:rPr>
  </w:style>
  <w:style w:type="paragraph" w:customStyle="1" w:styleId="RSCnumberedlist">
    <w:name w:val="RSC numbered list"/>
    <w:basedOn w:val="Normal"/>
    <w:qFormat/>
    <w:rsid w:val="00B30A6E"/>
    <w:pPr>
      <w:numPr>
        <w:numId w:val="10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6D790E"/>
    <w:pPr>
      <w:numPr>
        <w:numId w:val="11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Underline">
    <w:name w:val="RSC Underline"/>
    <w:basedOn w:val="Normal"/>
    <w:qFormat/>
    <w:rsid w:val="006D790E"/>
    <w:pPr>
      <w:spacing w:before="120" w:line="259" w:lineRule="auto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2D34BA"/>
    <w:pPr>
      <w:numPr>
        <w:numId w:val="13"/>
      </w:numPr>
    </w:pPr>
  </w:style>
  <w:style w:type="numbering" w:customStyle="1" w:styleId="CurrentList2">
    <w:name w:val="Current List2"/>
    <w:uiPriority w:val="99"/>
    <w:rsid w:val="002D34BA"/>
    <w:pPr>
      <w:numPr>
        <w:numId w:val="14"/>
      </w:numPr>
    </w:pPr>
  </w:style>
  <w:style w:type="numbering" w:customStyle="1" w:styleId="CurrentList3">
    <w:name w:val="Current List3"/>
    <w:uiPriority w:val="99"/>
    <w:rsid w:val="002D34BA"/>
    <w:pPr>
      <w:numPr>
        <w:numId w:val="15"/>
      </w:numPr>
    </w:pPr>
  </w:style>
  <w:style w:type="numbering" w:customStyle="1" w:styleId="CurrentList4">
    <w:name w:val="Current List4"/>
    <w:uiPriority w:val="99"/>
    <w:rsid w:val="00B30A6E"/>
    <w:pPr>
      <w:numPr>
        <w:numId w:val="16"/>
      </w:numPr>
    </w:pPr>
  </w:style>
  <w:style w:type="numbering" w:customStyle="1" w:styleId="CurrentList5">
    <w:name w:val="Current List5"/>
    <w:uiPriority w:val="99"/>
    <w:rsid w:val="00B30A6E"/>
    <w:pPr>
      <w:numPr>
        <w:numId w:val="17"/>
      </w:numPr>
    </w:pPr>
  </w:style>
  <w:style w:type="numbering" w:customStyle="1" w:styleId="CurrentList6">
    <w:name w:val="Current List6"/>
    <w:uiPriority w:val="99"/>
    <w:rsid w:val="00B30A6E"/>
    <w:pPr>
      <w:numPr>
        <w:numId w:val="18"/>
      </w:numPr>
    </w:pPr>
  </w:style>
  <w:style w:type="paragraph" w:customStyle="1" w:styleId="URL">
    <w:name w:val="URL"/>
    <w:basedOn w:val="RSCH3"/>
    <w:qFormat/>
    <w:rsid w:val="005F286E"/>
    <w:pPr>
      <w:spacing w:before="0" w:after="504"/>
    </w:pPr>
  </w:style>
  <w:style w:type="paragraph" w:customStyle="1" w:styleId="RSCURL">
    <w:name w:val="RSC URL"/>
    <w:basedOn w:val="Normal"/>
    <w:qFormat/>
    <w:rsid w:val="002549BE"/>
    <w:pPr>
      <w:spacing w:after="86"/>
      <w:ind w:right="-850"/>
      <w:jc w:val="left"/>
    </w:pPr>
    <w:rPr>
      <w:rFonts w:ascii="Century Gothic" w:hAnsi="Century Gothic"/>
      <w:b/>
      <w:bCs/>
      <w:color w:val="004976"/>
      <w:sz w:val="18"/>
      <w:szCs w:val="18"/>
    </w:rPr>
  </w:style>
  <w:style w:type="paragraph" w:customStyle="1" w:styleId="RSCH4">
    <w:name w:val="RSC H4"/>
    <w:basedOn w:val="RSCH2"/>
    <w:qFormat/>
    <w:rsid w:val="00FC3B24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893F3D"/>
    <w:pPr>
      <w:jc w:val="center"/>
    </w:pPr>
  </w:style>
  <w:style w:type="table" w:styleId="TableGrid">
    <w:name w:val="Table Grid"/>
    <w:basedOn w:val="TableNormal"/>
    <w:uiPriority w:val="59"/>
    <w:rsid w:val="00D00AB5"/>
    <w:pPr>
      <w:spacing w:after="0" w:line="240" w:lineRule="auto"/>
      <w:ind w:left="714" w:hanging="357"/>
      <w:jc w:val="both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CurrentList7">
    <w:name w:val="Current List7"/>
    <w:uiPriority w:val="99"/>
    <w:rsid w:val="00A13442"/>
    <w:pPr>
      <w:numPr>
        <w:numId w:val="20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B812B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32F41"/>
    <w:pPr>
      <w:spacing w:after="0" w:line="240" w:lineRule="auto"/>
    </w:pPr>
    <w:rPr>
      <w:rFonts w:ascii="Arial" w:hAnsi="Arial" w:cs="Arial"/>
      <w:sz w:val="20"/>
      <w:szCs w:val="20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B9773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70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1831">
                  <w:marLeft w:val="0"/>
                  <w:marRight w:val="4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1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340803">
                              <w:marLeft w:val="0"/>
                              <w:marRight w:val="0"/>
                              <w:marTop w:val="0"/>
                              <w:marBottom w:val="5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31" w:color="F0F2F2"/>
                              </w:divBdr>
                              <w:divsChild>
                                <w:div w:id="204323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476708">
                                      <w:marLeft w:val="0"/>
                                      <w:marRight w:val="0"/>
                                      <w:marTop w:val="0"/>
                                      <w:marBottom w:val="540"/>
                                      <w:divBdr>
                                        <w:top w:val="single" w:sz="6" w:space="0" w:color="F0F2F2"/>
                                        <w:left w:val="none" w:sz="0" w:space="0" w:color="auto"/>
                                        <w:bottom w:val="single" w:sz="6" w:space="0" w:color="F0F2F2"/>
                                        <w:right w:val="none" w:sz="0" w:space="0" w:color="auto"/>
                                      </w:divBdr>
                                      <w:divsChild>
                                        <w:div w:id="1192455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7657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725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4629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9407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0F2F2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830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76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5182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2861">
                      <w:marLeft w:val="0"/>
                      <w:marRight w:val="4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rsc.li/3zyJLk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sc.li/3T9sEQD" TargetMode="External"/><Relationship Id="rId12" Type="http://schemas.openxmlformats.org/officeDocument/2006/relationships/hyperlink" Target="https://science.cleapss.org.uk/Resource/HC027c-Copper-salts-sulfates-VI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cience.cleapss.org.uk/Resource/HC027c-Copper-salts-sulfates-VI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rsc.li/3T9sEQD" TargetMode="External"/><Relationship Id="rId2" Type="http://schemas.openxmlformats.org/officeDocument/2006/relationships/image" Target="media/image5.emf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341</Words>
  <Characters>2040</Characters>
  <Application>Microsoft Office Word</Application>
  <DocSecurity>0</DocSecurity>
  <Lines>60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Measuring enthalpy changes technician notes</vt:lpstr>
    </vt:vector>
  </TitlesOfParts>
  <Manager/>
  <Company>Royal Society Of Chemistry</Company>
  <LinksUpToDate>false</LinksUpToDate>
  <CharactersWithSpaces>2329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Measuring enthalpy changes technician notes</dc:title>
  <dc:subject/>
  <dc:creator>Royal Society Of Chemistry</dc:creator>
  <cp:keywords>enthalpy, experiment, Hess's law, copper sulfate</cp:keywords>
  <dc:description>From https://rsc.li/3ADkpGa RSC's Assessment for learning series and How to teach enthalpy cycles post-16, Education in Chemistry.</dc:description>
  <cp:lastModifiedBy>Juliet Kennard</cp:lastModifiedBy>
  <cp:revision>4</cp:revision>
  <dcterms:created xsi:type="dcterms:W3CDTF">2024-09-06T16:41:00Z</dcterms:created>
  <dcterms:modified xsi:type="dcterms:W3CDTF">2024-09-11T06:31:00Z</dcterms:modified>
  <cp:category/>
</cp:coreProperties>
</file>