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4223" w14:textId="07361BE5" w:rsidR="00336CBF" w:rsidRDefault="00963C34" w:rsidP="00336CBF">
      <w:pPr>
        <w:pStyle w:val="RSCH1"/>
        <w:rPr>
          <w:lang w:eastAsia="en-GB"/>
        </w:rPr>
      </w:pPr>
      <w:r>
        <w:rPr>
          <w:lang w:eastAsia="en-GB"/>
        </w:rPr>
        <w:t>Organic compounds and reactions</w:t>
      </w:r>
    </w:p>
    <w:p w14:paraId="6F1AAAD9" w14:textId="272C322F" w:rsidR="00A4361D" w:rsidRDefault="00A4361D" w:rsidP="00A4361D">
      <w:pPr>
        <w:pStyle w:val="RSC2-columntabs"/>
        <w:rPr>
          <w:lang w:eastAsia="en-GB"/>
        </w:rPr>
      </w:pPr>
      <w:bookmarkStart w:id="0" w:name="_Hlk175233502"/>
      <w:r>
        <w:rPr>
          <w:lang w:eastAsia="en-GB"/>
        </w:rPr>
        <w:t>Unscrambling definitions is a fun way to test and consolidate learners’ understanding of key terms and definitions. Instruct learners to piece together the definitions and then use their understanding of the terms to complete sentences. Answers are given below and are also provided as slides. Like the accompanying Frayer models, unscrambling definitions</w:t>
      </w:r>
      <w:r w:rsidR="005646E1">
        <w:rPr>
          <w:lang w:eastAsia="en-GB"/>
        </w:rPr>
        <w:t xml:space="preserve"> </w:t>
      </w:r>
      <w:r>
        <w:rPr>
          <w:lang w:eastAsia="en-GB"/>
        </w:rPr>
        <w:t>probe learners’ understanding and target the trickier terms in the key terms list.</w:t>
      </w:r>
    </w:p>
    <w:bookmarkEnd w:id="0"/>
    <w:p w14:paraId="52C95BA5" w14:textId="77777777" w:rsidR="00336CBF" w:rsidRDefault="00336CBF" w:rsidP="00336CBF">
      <w:pPr>
        <w:pStyle w:val="RSCH2"/>
        <w:rPr>
          <w:lang w:eastAsia="en-GB"/>
        </w:rPr>
      </w:pPr>
      <w:r>
        <w:rPr>
          <w:lang w:eastAsia="en-GB"/>
        </w:rPr>
        <w:t>Ideas for adaptation</w:t>
      </w:r>
    </w:p>
    <w:p w14:paraId="3934A7A2" w14:textId="77777777" w:rsidR="00040722" w:rsidRDefault="00040722" w:rsidP="00040722">
      <w:pPr>
        <w:pStyle w:val="RSC2-columntabs"/>
        <w:rPr>
          <w:lang w:eastAsia="en-GB"/>
        </w:rPr>
      </w:pPr>
      <w:r>
        <w:rPr>
          <w:lang w:eastAsia="en-GB"/>
        </w:rPr>
        <w:t xml:space="preserve">Integrate speaking and listening skills into this activity: </w:t>
      </w:r>
    </w:p>
    <w:p w14:paraId="340FB523" w14:textId="77777777" w:rsidR="00040722" w:rsidRDefault="00040722" w:rsidP="00040722">
      <w:pPr>
        <w:pStyle w:val="RSCBulletedlist"/>
        <w:rPr>
          <w:lang w:eastAsia="en-GB"/>
        </w:rPr>
      </w:pPr>
      <w:r>
        <w:rPr>
          <w:lang w:eastAsia="en-GB"/>
        </w:rPr>
        <w:t>Print the unscrambling definitions grid and cut around the individual boxes. Ask learners to each take a box and – as a class or group – arrange themselves into the various definitions. When everyone is ready, ask each learner to read out their own part of the definition in turn.</w:t>
      </w:r>
    </w:p>
    <w:p w14:paraId="59A4DDE6" w14:textId="77777777" w:rsidR="00040722" w:rsidRDefault="00040722" w:rsidP="00040722">
      <w:pPr>
        <w:pStyle w:val="RSCBulletedlist"/>
        <w:rPr>
          <w:lang w:eastAsia="en-GB"/>
        </w:rPr>
      </w:pPr>
      <w:r>
        <w:rPr>
          <w:lang w:eastAsia="en-GB"/>
        </w:rPr>
        <w:t>Ask learners to read out the connection completion slide in full.</w:t>
      </w:r>
    </w:p>
    <w:p w14:paraId="24E1A6C2" w14:textId="77777777" w:rsidR="00040722" w:rsidRDefault="00040722" w:rsidP="00040722">
      <w:pPr>
        <w:pStyle w:val="RSCBulletedlist"/>
        <w:rPr>
          <w:lang w:eastAsia="en-GB"/>
        </w:rPr>
      </w:pPr>
      <w:r w:rsidRPr="00C42B68">
        <w:rPr>
          <w:lang w:eastAsia="en-GB"/>
        </w:rPr>
        <w:t>For a quicker adaptation, consider doing a think, pair, share activity where learners discuss and decide on the correct definition</w:t>
      </w:r>
      <w:r>
        <w:rPr>
          <w:lang w:eastAsia="en-GB"/>
        </w:rPr>
        <w:t>s</w:t>
      </w:r>
      <w:r w:rsidRPr="00C42B68">
        <w:rPr>
          <w:lang w:eastAsia="en-GB"/>
        </w:rPr>
        <w:t xml:space="preserve"> in pairs or small groups.</w:t>
      </w:r>
    </w:p>
    <w:p w14:paraId="7FC73105" w14:textId="77777777" w:rsidR="00040722" w:rsidRDefault="00040722" w:rsidP="00040722">
      <w:pPr>
        <w:pStyle w:val="RSCBulletedlist"/>
        <w:numPr>
          <w:ilvl w:val="0"/>
          <w:numId w:val="0"/>
        </w:numPr>
        <w:rPr>
          <w:lang w:eastAsia="en-GB"/>
        </w:rPr>
      </w:pPr>
      <w:r>
        <w:rPr>
          <w:lang w:eastAsia="en-GB"/>
        </w:rPr>
        <w:t>Provide more support by linking the term in column A to the correct entry in column B and perhaps the entry in column B to the correct entry in column C, for the first few key terms in the grid.</w:t>
      </w:r>
    </w:p>
    <w:p w14:paraId="072F7E2E" w14:textId="557748B4" w:rsidR="00336CBF" w:rsidRDefault="00040722" w:rsidP="00336CBF">
      <w:pPr>
        <w:pStyle w:val="RSC2-columntabs"/>
        <w:rPr>
          <w:lang w:eastAsia="en-GB"/>
        </w:rPr>
      </w:pPr>
      <w:r>
        <w:rPr>
          <w:lang w:eastAsia="en-GB"/>
        </w:rPr>
        <w:t xml:space="preserve">Read more about unscrambling definitions and their use: </w:t>
      </w:r>
      <w:hyperlink r:id="rId10" w:history="1">
        <w:r w:rsidRPr="00B13DE0">
          <w:rPr>
            <w:rStyle w:val="Hyperlink"/>
            <w:lang w:eastAsia="en-GB"/>
          </w:rPr>
          <w:t>rsc.li/3Gda32t</w:t>
        </w:r>
      </w:hyperlink>
    </w:p>
    <w:p w14:paraId="05AC8218" w14:textId="77777777" w:rsidR="00336CBF" w:rsidRDefault="00336CBF" w:rsidP="00336CBF">
      <w:pPr>
        <w:pStyle w:val="RSCH2"/>
        <w:rPr>
          <w:lang w:eastAsia="en-GB"/>
        </w:rPr>
      </w:pPr>
      <w:r>
        <w:rPr>
          <w:lang w:eastAsia="en-GB"/>
        </w:rPr>
        <w:t>Answers</w:t>
      </w:r>
    </w:p>
    <w:p w14:paraId="47F3F4D5" w14:textId="22414438" w:rsidR="00D24A72" w:rsidRDefault="00526269" w:rsidP="00D24A72">
      <w:pPr>
        <w:pStyle w:val="RSCBasictext"/>
        <w:rPr>
          <w:lang w:eastAsia="en-GB"/>
        </w:rPr>
      </w:pPr>
      <w:r>
        <w:rPr>
          <w:lang w:eastAsia="en-GB"/>
        </w:rPr>
        <w:t>These are a</w:t>
      </w:r>
      <w:r w:rsidR="00D24A72">
        <w:rPr>
          <w:lang w:eastAsia="en-GB"/>
        </w:rPr>
        <w:t>lso supplied on the accompanying slides.</w:t>
      </w:r>
    </w:p>
    <w:p w14:paraId="4607964E" w14:textId="3CE2E2F9" w:rsidR="00336CBF" w:rsidRPr="007A0FF4" w:rsidRDefault="00336CBF" w:rsidP="00336CBF">
      <w:pPr>
        <w:pStyle w:val="RSCH3"/>
        <w:rPr>
          <w:lang w:eastAsia="en-GB"/>
        </w:rPr>
      </w:pPr>
      <w:r w:rsidRPr="007A0FF4">
        <w:rPr>
          <w:lang w:eastAsia="en-GB"/>
        </w:rPr>
        <w:t>Unscrambl</w:t>
      </w:r>
      <w:r w:rsidR="00D24A72">
        <w:rPr>
          <w:lang w:eastAsia="en-GB"/>
        </w:rPr>
        <w:t>ed</w:t>
      </w:r>
      <w:r w:rsidRPr="007A0FF4">
        <w:rPr>
          <w:lang w:eastAsia="en-GB"/>
        </w:rPr>
        <w:t xml:space="preserve"> definitions </w:t>
      </w:r>
    </w:p>
    <w:p w14:paraId="2C1E1068" w14:textId="6431C796" w:rsidR="00336CBF" w:rsidRPr="00B10E48" w:rsidRDefault="007A0FF4" w:rsidP="007A6DEE">
      <w:pPr>
        <w:tabs>
          <w:tab w:val="left" w:pos="6128"/>
        </w:tabs>
        <w:spacing w:after="0" w:line="256" w:lineRule="auto"/>
        <w:ind w:right="-1"/>
        <w:jc w:val="left"/>
        <w:rPr>
          <w:rFonts w:ascii="Century Gothic" w:hAnsi="Century Gothic"/>
          <w:sz w:val="22"/>
          <w:szCs w:val="22"/>
        </w:rPr>
      </w:pPr>
      <w:bookmarkStart w:id="1" w:name="_Hlk165551393"/>
      <w:r w:rsidRPr="00B10E48">
        <w:rPr>
          <w:rFonts w:ascii="Century Gothic" w:hAnsi="Century Gothic"/>
          <w:sz w:val="22"/>
          <w:szCs w:val="22"/>
        </w:rPr>
        <w:t xml:space="preserve">The </w:t>
      </w:r>
      <w:r w:rsidRPr="00B10E48">
        <w:rPr>
          <w:rFonts w:ascii="Century Gothic" w:hAnsi="Century Gothic"/>
          <w:b/>
          <w:bCs/>
          <w:sz w:val="22"/>
          <w:szCs w:val="22"/>
        </w:rPr>
        <w:t>general formula</w:t>
      </w:r>
      <w:r w:rsidRPr="00B10E48">
        <w:rPr>
          <w:rFonts w:ascii="Century Gothic" w:hAnsi="Century Gothic"/>
          <w:sz w:val="22"/>
          <w:szCs w:val="22"/>
        </w:rPr>
        <w:t xml:space="preserve"> is </w:t>
      </w:r>
      <w:r w:rsidRPr="007A0FF4">
        <w:rPr>
          <w:rFonts w:ascii="Century Gothic" w:hAnsi="Century Gothic"/>
          <w:sz w:val="22"/>
          <w:szCs w:val="22"/>
        </w:rPr>
        <w:t xml:space="preserve">a formula that represents every member of a particular homologous series, such as </w:t>
      </w:r>
      <w:r w:rsidRPr="005646E1">
        <w:rPr>
          <w:rFonts w:ascii="Cambria Math" w:hAnsi="Cambria Math"/>
          <w:sz w:val="22"/>
          <w:szCs w:val="22"/>
        </w:rPr>
        <w:t>C</w:t>
      </w:r>
      <w:r w:rsidRPr="005646E1">
        <w:rPr>
          <w:rFonts w:ascii="Cambria Math" w:hAnsi="Cambria Math"/>
          <w:i/>
          <w:iCs/>
          <w:sz w:val="22"/>
          <w:szCs w:val="22"/>
          <w:vertAlign w:val="subscript"/>
        </w:rPr>
        <w:t>n</w:t>
      </w:r>
      <w:r w:rsidRPr="005646E1">
        <w:rPr>
          <w:rFonts w:ascii="Cambria Math" w:hAnsi="Cambria Math"/>
          <w:sz w:val="22"/>
          <w:szCs w:val="22"/>
        </w:rPr>
        <w:t>H</w:t>
      </w:r>
      <w:r w:rsidRPr="005646E1">
        <w:rPr>
          <w:rFonts w:ascii="Cambria Math" w:hAnsi="Cambria Math"/>
          <w:sz w:val="22"/>
          <w:szCs w:val="22"/>
          <w:vertAlign w:val="subscript"/>
        </w:rPr>
        <w:t>2</w:t>
      </w:r>
      <w:r w:rsidRPr="005646E1">
        <w:rPr>
          <w:rFonts w:ascii="Cambria Math" w:hAnsi="Cambria Math"/>
          <w:i/>
          <w:iCs/>
          <w:sz w:val="22"/>
          <w:szCs w:val="22"/>
          <w:vertAlign w:val="subscript"/>
        </w:rPr>
        <w:t>n</w:t>
      </w:r>
      <w:r w:rsidRPr="005646E1">
        <w:rPr>
          <w:rFonts w:ascii="Cambria Math" w:hAnsi="Cambria Math"/>
          <w:sz w:val="22"/>
          <w:szCs w:val="22"/>
          <w:vertAlign w:val="subscript"/>
        </w:rPr>
        <w:t>+2</w:t>
      </w:r>
      <w:r w:rsidRPr="007A0FF4">
        <w:rPr>
          <w:rFonts w:ascii="Century Gothic" w:hAnsi="Century Gothic"/>
          <w:sz w:val="22"/>
          <w:szCs w:val="22"/>
        </w:rPr>
        <w:t xml:space="preserve"> for alkanes.</w:t>
      </w:r>
    </w:p>
    <w:p w14:paraId="4E0B0361" w14:textId="77777777" w:rsidR="007A6DEE" w:rsidRPr="00B10E48" w:rsidRDefault="007A6DEE" w:rsidP="007A6DEE">
      <w:pPr>
        <w:spacing w:after="0" w:line="240" w:lineRule="auto"/>
        <w:rPr>
          <w:rFonts w:ascii="Century Gothic" w:hAnsi="Century Gothic"/>
          <w:sz w:val="22"/>
          <w:szCs w:val="22"/>
        </w:rPr>
      </w:pPr>
    </w:p>
    <w:p w14:paraId="1087F634" w14:textId="4960D058" w:rsidR="007A0FF4" w:rsidRPr="00B10E48" w:rsidRDefault="007A0FF4" w:rsidP="007A6DEE">
      <w:pPr>
        <w:spacing w:after="0" w:line="240" w:lineRule="auto"/>
        <w:rPr>
          <w:rFonts w:ascii="Century Gothic" w:hAnsi="Century Gothic"/>
          <w:sz w:val="22"/>
          <w:szCs w:val="22"/>
        </w:rPr>
      </w:pPr>
      <w:r w:rsidRPr="00B10E48">
        <w:rPr>
          <w:rFonts w:ascii="Century Gothic" w:hAnsi="Century Gothic"/>
          <w:sz w:val="22"/>
          <w:szCs w:val="22"/>
        </w:rPr>
        <w:t xml:space="preserve">The </w:t>
      </w:r>
      <w:r w:rsidRPr="00B10E48">
        <w:rPr>
          <w:rFonts w:ascii="Century Gothic" w:hAnsi="Century Gothic"/>
          <w:b/>
          <w:bCs/>
          <w:sz w:val="22"/>
          <w:szCs w:val="22"/>
        </w:rPr>
        <w:t>structural formula</w:t>
      </w:r>
      <w:r w:rsidRPr="00B10E48">
        <w:rPr>
          <w:rFonts w:ascii="Century Gothic" w:hAnsi="Century Gothic"/>
          <w:sz w:val="22"/>
          <w:szCs w:val="22"/>
        </w:rPr>
        <w:t xml:space="preserve"> shows the number and arrangement of the atoms of each element in one molecule, such as </w:t>
      </w:r>
      <w:r w:rsidR="0013516C" w:rsidRPr="001B0919">
        <w:rPr>
          <w:rFonts w:ascii="Cambria Math" w:hAnsi="Cambria Math"/>
        </w:rPr>
        <w:t>CH</w:t>
      </w:r>
      <w:r w:rsidR="0013516C" w:rsidRPr="001B0919">
        <w:rPr>
          <w:rFonts w:ascii="Cambria Math" w:hAnsi="Cambria Math"/>
          <w:vertAlign w:val="subscript"/>
        </w:rPr>
        <w:t>3</w:t>
      </w:r>
      <w:r w:rsidR="0013516C" w:rsidRPr="001B0919">
        <w:rPr>
          <w:rFonts w:ascii="Cambria Math" w:hAnsi="Cambria Math"/>
        </w:rPr>
        <w:t>​C​H</w:t>
      </w:r>
      <w:r w:rsidR="0013516C" w:rsidRPr="001B0919">
        <w:rPr>
          <w:rFonts w:ascii="Cambria Math" w:hAnsi="Cambria Math"/>
          <w:vertAlign w:val="subscript"/>
        </w:rPr>
        <w:t>2</w:t>
      </w:r>
      <w:r w:rsidR="0013516C" w:rsidRPr="001B0919">
        <w:rPr>
          <w:rFonts w:ascii="Cambria Math" w:hAnsi="Cambria Math"/>
        </w:rPr>
        <w:t>​CH</w:t>
      </w:r>
      <w:r w:rsidR="0013516C" w:rsidRPr="001B0919">
        <w:rPr>
          <w:rFonts w:ascii="Cambria Math" w:hAnsi="Cambria Math"/>
          <w:vertAlign w:val="subscript"/>
        </w:rPr>
        <w:t>3</w:t>
      </w:r>
      <w:r w:rsidR="0013516C" w:rsidRPr="006C3B15">
        <w:rPr>
          <w:rFonts w:ascii="Century Gothic" w:hAnsi="Century Gothic"/>
        </w:rPr>
        <w:t xml:space="preserve"> </w:t>
      </w:r>
      <w:r w:rsidR="0013516C" w:rsidRPr="004F7DE2">
        <w:rPr>
          <w:rFonts w:ascii="Century Gothic" w:hAnsi="Century Gothic"/>
          <w:sz w:val="22"/>
          <w:szCs w:val="22"/>
        </w:rPr>
        <w:t>for propane</w:t>
      </w:r>
      <w:r w:rsidR="0013516C" w:rsidRPr="004F7DE2">
        <w:rPr>
          <w:sz w:val="22"/>
          <w:szCs w:val="22"/>
        </w:rPr>
        <w:t>​.</w:t>
      </w:r>
    </w:p>
    <w:p w14:paraId="4A3E99F3" w14:textId="0233570E" w:rsidR="007A0FF4" w:rsidRPr="00B10E48" w:rsidRDefault="00B10E48" w:rsidP="007A6DEE">
      <w:pPr>
        <w:spacing w:after="0" w:line="240" w:lineRule="auto"/>
        <w:rPr>
          <w:rFonts w:ascii="Century Gothic" w:hAnsi="Century Gothic"/>
          <w:sz w:val="22"/>
          <w:szCs w:val="22"/>
        </w:rPr>
      </w:pPr>
      <w:r w:rsidRPr="00B10E48">
        <w:rPr>
          <w:rFonts w:ascii="Century Gothic" w:hAnsi="Century Gothic"/>
          <w:noProof/>
          <w:sz w:val="22"/>
          <w:szCs w:val="22"/>
        </w:rPr>
        <w:drawing>
          <wp:anchor distT="36195" distB="36195" distL="114300" distR="114300" simplePos="0" relativeHeight="251658240" behindDoc="0" locked="0" layoutInCell="1" allowOverlap="1" wp14:anchorId="5C629188" wp14:editId="5726BD10">
            <wp:simplePos x="0" y="0"/>
            <wp:positionH relativeFrom="column">
              <wp:posOffset>5724525</wp:posOffset>
            </wp:positionH>
            <wp:positionV relativeFrom="paragraph">
              <wp:posOffset>22225</wp:posOffset>
            </wp:positionV>
            <wp:extent cx="449580" cy="516255"/>
            <wp:effectExtent l="0" t="0" r="7620" b="0"/>
            <wp:wrapSquare wrapText="bothSides"/>
            <wp:docPr id="1478310352" name="Picture 1" descr="Diagram with the letter C in the centre and four letter Hs joined with a straight line, equally spaced each side of the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310352" name="Picture 1" descr="Diagram with the letter C in the centre and four letter Hs joined with a straight line, equally spaced each side of the C"/>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49580" cy="516255"/>
                    </a:xfrm>
                    <a:prstGeom prst="rect">
                      <a:avLst/>
                    </a:prstGeom>
                    <a:noFill/>
                  </pic:spPr>
                </pic:pic>
              </a:graphicData>
            </a:graphic>
            <wp14:sizeRelH relativeFrom="page">
              <wp14:pctWidth>0</wp14:pctWidth>
            </wp14:sizeRelH>
            <wp14:sizeRelV relativeFrom="page">
              <wp14:pctHeight>0</wp14:pctHeight>
            </wp14:sizeRelV>
          </wp:anchor>
        </w:drawing>
      </w:r>
    </w:p>
    <w:p w14:paraId="463BBC54" w14:textId="5AB25AC9" w:rsidR="007A0FF4" w:rsidRPr="00B10E48" w:rsidRDefault="007A0FF4" w:rsidP="007A6DEE">
      <w:pPr>
        <w:spacing w:after="0" w:line="240" w:lineRule="auto"/>
        <w:rPr>
          <w:rFonts w:ascii="Century Gothic" w:hAnsi="Century Gothic"/>
          <w:sz w:val="22"/>
          <w:szCs w:val="22"/>
        </w:rPr>
      </w:pPr>
      <w:r w:rsidRPr="00B10E48">
        <w:rPr>
          <w:rFonts w:ascii="Century Gothic" w:hAnsi="Century Gothic"/>
          <w:sz w:val="22"/>
          <w:szCs w:val="22"/>
        </w:rPr>
        <w:t xml:space="preserve">The </w:t>
      </w:r>
      <w:r w:rsidRPr="00B10E48">
        <w:rPr>
          <w:rFonts w:ascii="Century Gothic" w:hAnsi="Century Gothic"/>
          <w:b/>
          <w:bCs/>
          <w:sz w:val="22"/>
          <w:szCs w:val="22"/>
        </w:rPr>
        <w:t>displayed formula</w:t>
      </w:r>
      <w:r w:rsidRPr="00B10E48">
        <w:rPr>
          <w:rFonts w:ascii="Century Gothic" w:hAnsi="Century Gothic"/>
          <w:sz w:val="22"/>
          <w:szCs w:val="22"/>
        </w:rPr>
        <w:t xml:space="preserve"> is a type of structural formula that shows all the bonds between the atoms in the molecule, such as shown here for methane.</w:t>
      </w:r>
    </w:p>
    <w:p w14:paraId="2CB24F7A" w14:textId="77777777" w:rsidR="007A0FF4" w:rsidRPr="00B10E48" w:rsidRDefault="007A0FF4" w:rsidP="007A6DEE">
      <w:pPr>
        <w:spacing w:after="0" w:line="240" w:lineRule="auto"/>
        <w:rPr>
          <w:rFonts w:ascii="Century Gothic" w:hAnsi="Century Gothic"/>
          <w:sz w:val="22"/>
          <w:szCs w:val="22"/>
        </w:rPr>
      </w:pPr>
    </w:p>
    <w:p w14:paraId="41B5D815" w14:textId="24117803" w:rsidR="007A0FF4" w:rsidRPr="00B10E48" w:rsidRDefault="00B10E48" w:rsidP="007A6DEE">
      <w:pPr>
        <w:spacing w:after="0" w:line="240" w:lineRule="auto"/>
        <w:rPr>
          <w:rFonts w:ascii="Century Gothic" w:hAnsi="Century Gothic"/>
          <w:sz w:val="22"/>
          <w:szCs w:val="22"/>
        </w:rPr>
      </w:pPr>
      <w:r>
        <w:rPr>
          <w:rFonts w:ascii="Century Gothic" w:hAnsi="Century Gothic"/>
          <w:sz w:val="22"/>
          <w:szCs w:val="22"/>
        </w:rPr>
        <w:t>A</w:t>
      </w:r>
      <w:r w:rsidR="007A0FF4" w:rsidRPr="00B10E48">
        <w:rPr>
          <w:rFonts w:ascii="Century Gothic" w:hAnsi="Century Gothic"/>
          <w:sz w:val="22"/>
          <w:szCs w:val="22"/>
        </w:rPr>
        <w:t xml:space="preserve"> </w:t>
      </w:r>
      <w:r w:rsidR="007A0FF4" w:rsidRPr="00B10E48">
        <w:rPr>
          <w:rFonts w:ascii="Century Gothic" w:hAnsi="Century Gothic"/>
          <w:b/>
          <w:bCs/>
          <w:sz w:val="22"/>
          <w:szCs w:val="22"/>
        </w:rPr>
        <w:t>functional group</w:t>
      </w:r>
      <w:r w:rsidR="007A0FF4" w:rsidRPr="00B10E48">
        <w:rPr>
          <w:rFonts w:ascii="Century Gothic" w:hAnsi="Century Gothic"/>
          <w:sz w:val="22"/>
          <w:szCs w:val="22"/>
        </w:rPr>
        <w:t xml:space="preserve"> is a group of atoms that are responsible for the chemical properties of a compound, such as the </w:t>
      </w:r>
      <w:r w:rsidR="007A0FF4" w:rsidRPr="00E62A67">
        <w:rPr>
          <w:rFonts w:ascii="Cambria Math" w:hAnsi="Cambria Math"/>
          <w:sz w:val="22"/>
          <w:szCs w:val="22"/>
        </w:rPr>
        <w:t>-OH</w:t>
      </w:r>
      <w:r w:rsidR="007A0FF4" w:rsidRPr="00B10E48">
        <w:rPr>
          <w:rFonts w:ascii="Century Gothic" w:hAnsi="Century Gothic"/>
          <w:sz w:val="22"/>
          <w:szCs w:val="22"/>
        </w:rPr>
        <w:t xml:space="preserve"> group in an alcohol.</w:t>
      </w:r>
    </w:p>
    <w:p w14:paraId="09DE9CC6" w14:textId="77777777" w:rsidR="007A0FF4" w:rsidRPr="00B10E48" w:rsidRDefault="007A0FF4" w:rsidP="007A6DEE">
      <w:pPr>
        <w:spacing w:after="0" w:line="240" w:lineRule="auto"/>
        <w:rPr>
          <w:rFonts w:ascii="Century Gothic" w:hAnsi="Century Gothic"/>
          <w:sz w:val="22"/>
          <w:szCs w:val="22"/>
        </w:rPr>
      </w:pPr>
    </w:p>
    <w:p w14:paraId="4363C5DD" w14:textId="4700D366" w:rsidR="007A0FF4" w:rsidRPr="00B10E48" w:rsidRDefault="007A0FF4" w:rsidP="007A6DEE">
      <w:pPr>
        <w:spacing w:after="0" w:line="240" w:lineRule="auto"/>
        <w:rPr>
          <w:rFonts w:ascii="Century Gothic" w:hAnsi="Century Gothic"/>
          <w:sz w:val="22"/>
          <w:szCs w:val="22"/>
        </w:rPr>
      </w:pPr>
      <w:r w:rsidRPr="210EBC24">
        <w:rPr>
          <w:rFonts w:ascii="Century Gothic" w:hAnsi="Century Gothic"/>
          <w:sz w:val="22"/>
          <w:szCs w:val="22"/>
        </w:rPr>
        <w:t xml:space="preserve">An </w:t>
      </w:r>
      <w:r w:rsidRPr="210EBC24">
        <w:rPr>
          <w:rFonts w:ascii="Century Gothic" w:hAnsi="Century Gothic"/>
          <w:b/>
          <w:bCs/>
          <w:sz w:val="22"/>
          <w:szCs w:val="22"/>
        </w:rPr>
        <w:t>alkene</w:t>
      </w:r>
      <w:r w:rsidRPr="210EBC24">
        <w:rPr>
          <w:rFonts w:ascii="Century Gothic" w:hAnsi="Century Gothic"/>
          <w:sz w:val="22"/>
          <w:szCs w:val="22"/>
        </w:rPr>
        <w:t xml:space="preserve"> is a hydrocarbon with a </w:t>
      </w:r>
      <w:r w:rsidRPr="210EBC24">
        <w:rPr>
          <w:rFonts w:ascii="Cambria Math" w:hAnsi="Cambria Math"/>
          <w:sz w:val="22"/>
          <w:szCs w:val="22"/>
        </w:rPr>
        <w:t>C=C</w:t>
      </w:r>
      <w:r w:rsidRPr="210EBC24">
        <w:rPr>
          <w:rFonts w:ascii="Century Gothic" w:hAnsi="Century Gothic"/>
          <w:sz w:val="22"/>
          <w:szCs w:val="22"/>
        </w:rPr>
        <w:t xml:space="preserve"> double bond which has the general formula </w:t>
      </w:r>
      <w:r w:rsidRPr="210EBC24">
        <w:rPr>
          <w:rFonts w:ascii="Cambria Math" w:hAnsi="Cambria Math"/>
          <w:sz w:val="22"/>
          <w:szCs w:val="22"/>
        </w:rPr>
        <w:t>C</w:t>
      </w:r>
      <w:r w:rsidRPr="210EBC24">
        <w:rPr>
          <w:rFonts w:ascii="Cambria Math" w:hAnsi="Cambria Math"/>
          <w:i/>
          <w:iCs/>
          <w:sz w:val="22"/>
          <w:szCs w:val="22"/>
          <w:vertAlign w:val="subscript"/>
        </w:rPr>
        <w:t>n</w:t>
      </w:r>
      <w:r w:rsidRPr="210EBC24">
        <w:rPr>
          <w:rFonts w:ascii="Cambria Math" w:hAnsi="Cambria Math"/>
          <w:sz w:val="22"/>
          <w:szCs w:val="22"/>
        </w:rPr>
        <w:t>H</w:t>
      </w:r>
      <w:r w:rsidRPr="210EBC24">
        <w:rPr>
          <w:rFonts w:ascii="Cambria Math" w:hAnsi="Cambria Math"/>
          <w:sz w:val="22"/>
          <w:szCs w:val="22"/>
          <w:vertAlign w:val="subscript"/>
        </w:rPr>
        <w:t>2</w:t>
      </w:r>
      <w:r w:rsidRPr="210EBC24">
        <w:rPr>
          <w:rFonts w:ascii="Cambria Math" w:hAnsi="Cambria Math"/>
          <w:i/>
          <w:iCs/>
          <w:sz w:val="22"/>
          <w:szCs w:val="22"/>
          <w:vertAlign w:val="subscript"/>
        </w:rPr>
        <w:t>n</w:t>
      </w:r>
      <w:r w:rsidRPr="210EBC24">
        <w:rPr>
          <w:rFonts w:ascii="Century Gothic" w:hAnsi="Century Gothic"/>
          <w:sz w:val="22"/>
          <w:szCs w:val="22"/>
        </w:rPr>
        <w:t xml:space="preserve"> such as ethene and propene.</w:t>
      </w:r>
    </w:p>
    <w:p w14:paraId="1092C5D6" w14:textId="77777777" w:rsidR="007A0FF4" w:rsidRPr="00B10E48" w:rsidRDefault="007A0FF4" w:rsidP="007A6DEE">
      <w:pPr>
        <w:spacing w:after="0" w:line="240" w:lineRule="auto"/>
        <w:rPr>
          <w:rFonts w:ascii="Century Gothic" w:hAnsi="Century Gothic"/>
          <w:sz w:val="22"/>
          <w:szCs w:val="22"/>
        </w:rPr>
      </w:pPr>
    </w:p>
    <w:p w14:paraId="78757D53" w14:textId="22A0098E" w:rsidR="007A0FF4" w:rsidRDefault="007A0FF4" w:rsidP="007A6DEE">
      <w:pPr>
        <w:spacing w:after="0" w:line="240" w:lineRule="auto"/>
        <w:rPr>
          <w:rFonts w:ascii="Century Gothic" w:hAnsi="Century Gothic"/>
          <w:sz w:val="22"/>
          <w:szCs w:val="22"/>
        </w:rPr>
      </w:pPr>
      <w:r w:rsidRPr="00B10E48">
        <w:rPr>
          <w:rFonts w:ascii="Century Gothic" w:hAnsi="Century Gothic"/>
          <w:sz w:val="22"/>
          <w:szCs w:val="22"/>
        </w:rPr>
        <w:t xml:space="preserve">An </w:t>
      </w:r>
      <w:r w:rsidRPr="00B10E48">
        <w:rPr>
          <w:rFonts w:ascii="Century Gothic" w:hAnsi="Century Gothic"/>
          <w:b/>
          <w:bCs/>
          <w:sz w:val="22"/>
          <w:szCs w:val="22"/>
        </w:rPr>
        <w:t>unsaturated hydrocarbon</w:t>
      </w:r>
      <w:r w:rsidRPr="00B10E48">
        <w:rPr>
          <w:rFonts w:ascii="Century Gothic" w:hAnsi="Century Gothic"/>
          <w:sz w:val="22"/>
          <w:szCs w:val="22"/>
        </w:rPr>
        <w:t xml:space="preserve"> is </w:t>
      </w:r>
      <w:r w:rsidR="00B10E48">
        <w:rPr>
          <w:rFonts w:ascii="Century Gothic" w:hAnsi="Century Gothic"/>
          <w:sz w:val="22"/>
          <w:szCs w:val="22"/>
        </w:rPr>
        <w:t xml:space="preserve">a </w:t>
      </w:r>
      <w:r w:rsidRPr="00B10E48">
        <w:rPr>
          <w:rFonts w:ascii="Century Gothic" w:hAnsi="Century Gothic"/>
          <w:sz w:val="22"/>
          <w:szCs w:val="22"/>
        </w:rPr>
        <w:t>hydrocarbon with a double or triple bond between one or more of the carbon atoms, such as an alkene.</w:t>
      </w:r>
    </w:p>
    <w:p w14:paraId="00FBF467" w14:textId="77777777" w:rsidR="00B10E48" w:rsidRPr="00B10E48" w:rsidRDefault="00B10E48" w:rsidP="007A6DEE">
      <w:pPr>
        <w:spacing w:after="0" w:line="240" w:lineRule="auto"/>
        <w:rPr>
          <w:rFonts w:ascii="Century Gothic" w:hAnsi="Century Gothic"/>
          <w:sz w:val="22"/>
          <w:szCs w:val="22"/>
        </w:rPr>
      </w:pPr>
    </w:p>
    <w:p w14:paraId="464E46BA" w14:textId="545A1FE9" w:rsidR="00B10E48" w:rsidRPr="00B10E48" w:rsidRDefault="00B10E48" w:rsidP="007A6DEE">
      <w:pPr>
        <w:spacing w:after="0" w:line="240" w:lineRule="auto"/>
        <w:rPr>
          <w:rFonts w:ascii="Century Gothic" w:hAnsi="Century Gothic"/>
          <w:sz w:val="22"/>
          <w:szCs w:val="22"/>
        </w:rPr>
      </w:pPr>
      <w:r w:rsidRPr="00B10E48">
        <w:rPr>
          <w:rFonts w:ascii="Century Gothic" w:hAnsi="Century Gothic"/>
          <w:sz w:val="22"/>
          <w:szCs w:val="22"/>
        </w:rPr>
        <w:t xml:space="preserve">An </w:t>
      </w:r>
      <w:r w:rsidRPr="00B10E48">
        <w:rPr>
          <w:rFonts w:ascii="Century Gothic" w:hAnsi="Century Gothic"/>
          <w:b/>
          <w:bCs/>
          <w:sz w:val="22"/>
          <w:szCs w:val="22"/>
        </w:rPr>
        <w:t>alcoho</w:t>
      </w:r>
      <w:r w:rsidRPr="00B10E48">
        <w:rPr>
          <w:rFonts w:ascii="Century Gothic" w:hAnsi="Century Gothic"/>
          <w:sz w:val="22"/>
          <w:szCs w:val="22"/>
        </w:rPr>
        <w:t xml:space="preserve">l is an organic compound that contains an </w:t>
      </w:r>
      <w:r w:rsidRPr="00E62A67">
        <w:rPr>
          <w:rFonts w:ascii="Cambria Math" w:hAnsi="Cambria Math"/>
          <w:sz w:val="22"/>
          <w:szCs w:val="22"/>
        </w:rPr>
        <w:t>-OH</w:t>
      </w:r>
      <w:r w:rsidRPr="00B10E48">
        <w:rPr>
          <w:rFonts w:ascii="Century Gothic" w:hAnsi="Century Gothic"/>
          <w:sz w:val="22"/>
          <w:szCs w:val="22"/>
        </w:rPr>
        <w:t xml:space="preserve"> functional group, such as methanol and ethanol.</w:t>
      </w:r>
    </w:p>
    <w:p w14:paraId="3F28C0FF" w14:textId="77777777" w:rsidR="00B10E48" w:rsidRPr="00B10E48" w:rsidRDefault="00B10E48" w:rsidP="007A6DEE">
      <w:pPr>
        <w:spacing w:after="0" w:line="240" w:lineRule="auto"/>
        <w:rPr>
          <w:rFonts w:ascii="Century Gothic" w:hAnsi="Century Gothic"/>
          <w:sz w:val="22"/>
          <w:szCs w:val="22"/>
        </w:rPr>
      </w:pPr>
    </w:p>
    <w:p w14:paraId="6178D3E1" w14:textId="40AEE322" w:rsidR="007A6DEE" w:rsidRPr="005B1182" w:rsidRDefault="00B10E48" w:rsidP="009E33D8">
      <w:pPr>
        <w:spacing w:after="0" w:line="240" w:lineRule="auto"/>
        <w:rPr>
          <w:highlight w:val="cyan"/>
        </w:rPr>
      </w:pPr>
      <w:r w:rsidRPr="00B10E48">
        <w:rPr>
          <w:rFonts w:ascii="Century Gothic" w:hAnsi="Century Gothic"/>
          <w:sz w:val="22"/>
          <w:szCs w:val="22"/>
        </w:rPr>
        <w:t xml:space="preserve">A </w:t>
      </w:r>
      <w:r w:rsidRPr="00B10E48">
        <w:rPr>
          <w:rFonts w:ascii="Century Gothic" w:hAnsi="Century Gothic"/>
          <w:b/>
          <w:bCs/>
          <w:sz w:val="22"/>
          <w:szCs w:val="22"/>
        </w:rPr>
        <w:t>carboxylic acid</w:t>
      </w:r>
      <w:r w:rsidRPr="00B10E48">
        <w:rPr>
          <w:rFonts w:ascii="Century Gothic" w:hAnsi="Century Gothic"/>
          <w:sz w:val="22"/>
          <w:szCs w:val="22"/>
        </w:rPr>
        <w:t xml:space="preserve"> is an organic compound that contains a </w:t>
      </w:r>
      <w:r w:rsidRPr="00E62A67">
        <w:rPr>
          <w:rFonts w:ascii="Cambria Math" w:hAnsi="Cambria Math"/>
          <w:sz w:val="22"/>
          <w:szCs w:val="22"/>
        </w:rPr>
        <w:t>-COOH</w:t>
      </w:r>
      <w:r w:rsidRPr="00B10E48">
        <w:rPr>
          <w:rFonts w:ascii="Century Gothic" w:hAnsi="Century Gothic"/>
          <w:sz w:val="22"/>
          <w:szCs w:val="22"/>
        </w:rPr>
        <w:t xml:space="preserve"> functional group, such as </w:t>
      </w:r>
      <w:proofErr w:type="spellStart"/>
      <w:r w:rsidRPr="00B10E48">
        <w:rPr>
          <w:rFonts w:ascii="Century Gothic" w:hAnsi="Century Gothic"/>
          <w:sz w:val="22"/>
          <w:szCs w:val="22"/>
        </w:rPr>
        <w:t>methanoic</w:t>
      </w:r>
      <w:proofErr w:type="spellEnd"/>
      <w:r w:rsidRPr="00B10E48">
        <w:rPr>
          <w:rFonts w:ascii="Century Gothic" w:hAnsi="Century Gothic"/>
          <w:sz w:val="22"/>
          <w:szCs w:val="22"/>
        </w:rPr>
        <w:t xml:space="preserve"> acid and ethanoic acid</w:t>
      </w:r>
      <w:r>
        <w:rPr>
          <w:rFonts w:ascii="Century Gothic" w:hAnsi="Century Gothic"/>
          <w:sz w:val="22"/>
          <w:szCs w:val="22"/>
        </w:rPr>
        <w:t>.</w:t>
      </w:r>
    </w:p>
    <w:bookmarkEnd w:id="1"/>
    <w:p w14:paraId="0149E66D" w14:textId="77777777" w:rsidR="00336CBF" w:rsidRPr="007A0FF4" w:rsidRDefault="00336CBF" w:rsidP="00336CBF">
      <w:pPr>
        <w:pStyle w:val="RSCH3"/>
        <w:rPr>
          <w:lang w:eastAsia="en-GB"/>
        </w:rPr>
      </w:pPr>
      <w:r w:rsidRPr="007A0FF4">
        <w:rPr>
          <w:lang w:eastAsia="en-GB"/>
        </w:rPr>
        <w:t>Connection completion answers</w:t>
      </w:r>
    </w:p>
    <w:p w14:paraId="0B19980D" w14:textId="5232261A" w:rsidR="00336CBF" w:rsidRPr="007A0FF4" w:rsidRDefault="00336CBF" w:rsidP="00336CBF">
      <w:pPr>
        <w:pStyle w:val="RSC2-columntabs"/>
        <w:rPr>
          <w:lang w:eastAsia="en-GB"/>
        </w:rPr>
      </w:pPr>
      <w:r w:rsidRPr="007A0FF4">
        <w:t xml:space="preserve">Learners should choose row </w:t>
      </w:r>
      <w:r w:rsidR="007A0FF4" w:rsidRPr="007A0FF4">
        <w:t>D</w:t>
      </w:r>
      <w:r w:rsidRPr="007A0FF4">
        <w:t xml:space="preserve"> as the correct connections for the sentences.</w:t>
      </w:r>
    </w:p>
    <w:tbl>
      <w:tblPr>
        <w:tblStyle w:val="TableGrid"/>
        <w:tblW w:w="0" w:type="auto"/>
        <w:jc w:val="center"/>
        <w:tblLook w:val="04A0" w:firstRow="1" w:lastRow="0" w:firstColumn="1" w:lastColumn="0" w:noHBand="0" w:noVBand="1"/>
      </w:tblPr>
      <w:tblGrid>
        <w:gridCol w:w="1002"/>
        <w:gridCol w:w="2671"/>
        <w:gridCol w:w="2671"/>
        <w:gridCol w:w="2672"/>
      </w:tblGrid>
      <w:tr w:rsidR="007A0FF4" w:rsidRPr="007A0FF4" w14:paraId="0F7F7774" w14:textId="77777777" w:rsidTr="006A159C">
        <w:trPr>
          <w:trHeight w:val="482"/>
          <w:jc w:val="center"/>
        </w:trPr>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0C0"/>
            <w:vAlign w:val="center"/>
            <w:hideMark/>
          </w:tcPr>
          <w:p w14:paraId="6FEAE3E4" w14:textId="62803D6F" w:rsidR="007A0FF4" w:rsidRPr="009E33D8" w:rsidRDefault="007A0FF4" w:rsidP="007A0FF4">
            <w:pPr>
              <w:spacing w:after="0" w:line="256" w:lineRule="auto"/>
              <w:ind w:left="0" w:right="34"/>
              <w:jc w:val="center"/>
              <w:rPr>
                <w:rFonts w:ascii="Century Gothic" w:hAnsi="Century Gothic"/>
                <w:b/>
                <w:bCs/>
                <w:color w:val="C8102E"/>
                <w:sz w:val="24"/>
                <w:szCs w:val="24"/>
              </w:rPr>
            </w:pPr>
            <w:r w:rsidRPr="00612391">
              <w:rPr>
                <w:rFonts w:ascii="Century Gothic" w:hAnsi="Century Gothic"/>
                <w:b/>
                <w:bCs/>
                <w:color w:val="C8102E"/>
              </w:rPr>
              <w:t>D</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359DE0" w14:textId="5CE142CE" w:rsidR="007A0FF4" w:rsidRPr="007A0FF4" w:rsidRDefault="007A0FF4" w:rsidP="007A0FF4">
            <w:pPr>
              <w:pStyle w:val="RSCBasictext"/>
              <w:spacing w:after="0"/>
              <w:ind w:left="0"/>
              <w:jc w:val="center"/>
            </w:pPr>
            <w:r w:rsidRPr="007A0FF4">
              <w:t>because</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F655CC" w14:textId="743F36DB" w:rsidR="007A0FF4" w:rsidRPr="007A0FF4" w:rsidRDefault="007A0FF4" w:rsidP="007A0FF4">
            <w:pPr>
              <w:pStyle w:val="RSCBasictext"/>
              <w:spacing w:after="0"/>
              <w:ind w:left="0"/>
              <w:jc w:val="center"/>
            </w:pPr>
            <w:r w:rsidRPr="007A0FF4">
              <w:t>due to</w:t>
            </w:r>
          </w:p>
        </w:tc>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462829" w14:textId="00D32EEC" w:rsidR="007A0FF4" w:rsidRPr="007A0FF4" w:rsidRDefault="007A0FF4" w:rsidP="007A0FF4">
            <w:pPr>
              <w:pStyle w:val="RSCBasictext"/>
              <w:spacing w:after="0"/>
              <w:ind w:left="0"/>
              <w:jc w:val="center"/>
            </w:pPr>
            <w:r w:rsidRPr="007A0FF4">
              <w:t>furthermore</w:t>
            </w:r>
          </w:p>
        </w:tc>
      </w:tr>
    </w:tbl>
    <w:p w14:paraId="2816465A" w14:textId="77777777" w:rsidR="00336CBF" w:rsidRPr="007A0FF4" w:rsidRDefault="00336CBF" w:rsidP="00336CBF">
      <w:pPr>
        <w:pStyle w:val="RSC2-columntabs"/>
      </w:pPr>
    </w:p>
    <w:p w14:paraId="1B0DC749" w14:textId="7FC6FFC7" w:rsidR="00240AC0" w:rsidRDefault="00240AC0" w:rsidP="00240AC0">
      <w:pPr>
        <w:pStyle w:val="RSC2-columntabs"/>
      </w:pPr>
      <w:r>
        <w:t>Completed sentences</w:t>
      </w:r>
      <w:r w:rsidR="00AD6F25">
        <w:t>:</w:t>
      </w:r>
      <w:r>
        <w:t xml:space="preserve"> </w:t>
      </w:r>
    </w:p>
    <w:p w14:paraId="311DCDAE" w14:textId="77777777" w:rsidR="00D24A72" w:rsidRDefault="007A0FF4" w:rsidP="00336CBF">
      <w:pPr>
        <w:pStyle w:val="RSC2-columntabs"/>
      </w:pPr>
      <w:bookmarkStart w:id="2" w:name="_Hlk191244576"/>
      <w:bookmarkStart w:id="3" w:name="_Hlk175232250"/>
      <w:r>
        <w:t xml:space="preserve">Alkenes are unsaturated hydrocarbons </w:t>
      </w:r>
      <w:r w:rsidRPr="007A0FF4">
        <w:rPr>
          <w:b/>
          <w:bCs/>
          <w:color w:val="C8102E"/>
        </w:rPr>
        <w:t>b</w:t>
      </w:r>
      <w:r>
        <w:rPr>
          <w:b/>
          <w:bCs/>
          <w:color w:val="C8102E"/>
        </w:rPr>
        <w:t>ecause</w:t>
      </w:r>
      <w:r>
        <w:t xml:space="preserve"> they have a </w:t>
      </w:r>
      <w:r w:rsidRPr="00E62A67">
        <w:rPr>
          <w:rFonts w:ascii="Cambria Math" w:hAnsi="Cambria Math"/>
        </w:rPr>
        <w:t>C=C</w:t>
      </w:r>
      <w:r>
        <w:t xml:space="preserve"> double bond. It is </w:t>
      </w:r>
      <w:r>
        <w:rPr>
          <w:b/>
          <w:bCs/>
          <w:color w:val="C8102E"/>
        </w:rPr>
        <w:t>due to</w:t>
      </w:r>
      <w:r>
        <w:t xml:space="preserve"> this double bond that all alkenes have similar chemical properties and, </w:t>
      </w:r>
      <w:r>
        <w:rPr>
          <w:b/>
          <w:bCs/>
          <w:color w:val="C8102E"/>
        </w:rPr>
        <w:t>furthermore</w:t>
      </w:r>
      <w:r>
        <w:t xml:space="preserve">, the same general formula. </w:t>
      </w:r>
      <w:bookmarkEnd w:id="2"/>
      <w:r w:rsidR="007A6DEE">
        <w:t xml:space="preserve"> </w:t>
      </w:r>
    </w:p>
    <w:p w14:paraId="7757C799" w14:textId="77777777" w:rsidR="00D24A72" w:rsidRDefault="00D24A72" w:rsidP="00D24A72">
      <w:pPr>
        <w:pStyle w:val="RSCH2"/>
      </w:pPr>
      <w:r>
        <w:t>Other key terms support resources</w:t>
      </w:r>
    </w:p>
    <w:p w14:paraId="5470E7CE" w14:textId="124FC9DE" w:rsidR="008F3DF3" w:rsidRDefault="008F3DF3" w:rsidP="008F3DF3">
      <w:pPr>
        <w:pStyle w:val="RSCBasictext"/>
        <w:rPr>
          <w:lang w:eastAsia="en-GB"/>
        </w:rPr>
      </w:pPr>
      <w:r>
        <w:rPr>
          <w:lang w:eastAsia="en-GB"/>
        </w:rPr>
        <w:t xml:space="preserve">This resource is part of the key terms support for the </w:t>
      </w:r>
      <w:r>
        <w:rPr>
          <w:b/>
          <w:bCs/>
          <w:lang w:eastAsia="en-GB"/>
        </w:rPr>
        <w:t>organic compounds and reactions</w:t>
      </w:r>
      <w:r w:rsidR="000003D6">
        <w:rPr>
          <w:b/>
          <w:bCs/>
          <w:lang w:eastAsia="en-GB"/>
        </w:rPr>
        <w:t xml:space="preserve"> </w:t>
      </w:r>
      <w:r w:rsidR="000003D6" w:rsidRPr="00E62A67">
        <w:rPr>
          <w:lang w:eastAsia="en-GB"/>
        </w:rPr>
        <w:t>topic</w:t>
      </w:r>
      <w:r>
        <w:rPr>
          <w:lang w:eastAsia="en-GB"/>
        </w:rPr>
        <w:t xml:space="preserve">. Find the following accompanying resources at </w:t>
      </w:r>
      <w:hyperlink r:id="rId12" w:history="1">
        <w:r w:rsidR="004A2DF1" w:rsidRPr="004A2DF1">
          <w:rPr>
            <w:rStyle w:val="Hyperlink"/>
          </w:rPr>
          <w:t>rsc.li/4js7w2I</w:t>
        </w:r>
      </w:hyperlink>
      <w:r w:rsidR="004A2DF1">
        <w:t>:</w:t>
      </w:r>
    </w:p>
    <w:p w14:paraId="0A79BD61" w14:textId="5880D1B1" w:rsidR="008F3DF3" w:rsidRPr="00984329" w:rsidRDefault="00526269" w:rsidP="008F3DF3">
      <w:pPr>
        <w:pStyle w:val="RSCBulletedlist"/>
        <w:rPr>
          <w:lang w:eastAsia="en-GB"/>
        </w:rPr>
      </w:pPr>
      <w:r>
        <w:rPr>
          <w:lang w:eastAsia="en-GB"/>
        </w:rPr>
        <w:t>K</w:t>
      </w:r>
      <w:r w:rsidR="008F3DF3" w:rsidRPr="00984329">
        <w:rPr>
          <w:lang w:eastAsia="en-GB"/>
        </w:rPr>
        <w:t>ey terms list – carefully selected vocabulary, with definitions, that learners will come across when studying this topic at this stage</w:t>
      </w:r>
    </w:p>
    <w:p w14:paraId="7B62E928" w14:textId="57A6A906" w:rsidR="008F3DF3" w:rsidRDefault="00526269" w:rsidP="008F3DF3">
      <w:pPr>
        <w:pStyle w:val="RSCBulletedlist"/>
        <w:rPr>
          <w:lang w:eastAsia="en-GB"/>
        </w:rPr>
      </w:pPr>
      <w:r>
        <w:rPr>
          <w:lang w:eastAsia="en-GB"/>
        </w:rPr>
        <w:t>A</w:t>
      </w:r>
      <w:r w:rsidR="008F3DF3">
        <w:rPr>
          <w:lang w:eastAsia="en-GB"/>
        </w:rPr>
        <w:t xml:space="preserve">ccessible glossary </w:t>
      </w:r>
      <w:r w:rsidR="008F3DF3" w:rsidRPr="00984329">
        <w:rPr>
          <w:lang w:eastAsia="en-GB"/>
        </w:rPr>
        <w:t xml:space="preserve">– </w:t>
      </w:r>
      <w:r w:rsidR="000A6732">
        <w:rPr>
          <w:lang w:eastAsia="en-GB"/>
        </w:rPr>
        <w:t xml:space="preserve">expand on the key terms list with diagrams, examples, pronunciation guides and more </w:t>
      </w:r>
    </w:p>
    <w:p w14:paraId="1C97A935" w14:textId="1A98A335" w:rsidR="008F3DF3" w:rsidRDefault="008F3DF3" w:rsidP="008F3DF3">
      <w:pPr>
        <w:pStyle w:val="RSCBulletedlist"/>
        <w:rPr>
          <w:lang w:eastAsia="en-GB"/>
        </w:rPr>
      </w:pPr>
      <w:r w:rsidRPr="00984329">
        <w:rPr>
          <w:lang w:eastAsia="en-GB"/>
        </w:rPr>
        <w:t>Frayer model</w:t>
      </w:r>
      <w:r>
        <w:rPr>
          <w:lang w:eastAsia="en-GB"/>
        </w:rPr>
        <w:t xml:space="preserve">s – </w:t>
      </w:r>
      <w:r w:rsidRPr="00984329">
        <w:rPr>
          <w:lang w:eastAsia="en-GB"/>
        </w:rPr>
        <w:t>a way for learners to organise their understanding of a new piece of vocabulary by working through four conceptual quadrants: explore, break down, explain, consolidate</w:t>
      </w:r>
      <w:r>
        <w:rPr>
          <w:lang w:eastAsia="en-GB"/>
        </w:rPr>
        <w:t>.</w:t>
      </w:r>
    </w:p>
    <w:p w14:paraId="23FB52E9" w14:textId="38C84DA7" w:rsidR="00336CBF" w:rsidRPr="00BC1BC2" w:rsidRDefault="007A6DEE" w:rsidP="00D24A72">
      <w:pPr>
        <w:pStyle w:val="RSCH2"/>
      </w:pPr>
      <w:r>
        <w:br/>
      </w:r>
    </w:p>
    <w:bookmarkEnd w:id="3"/>
    <w:p w14:paraId="7BA87023" w14:textId="77777777" w:rsidR="00336CBF" w:rsidRDefault="00336CBF" w:rsidP="00336CBF">
      <w:pPr>
        <w:pStyle w:val="RSCBasictext"/>
        <w:rPr>
          <w:lang w:eastAsia="en-GB"/>
        </w:rPr>
      </w:pPr>
    </w:p>
    <w:p w14:paraId="64554D5A" w14:textId="77777777" w:rsidR="00336CBF" w:rsidRDefault="00336CBF" w:rsidP="00336CBF">
      <w:pPr>
        <w:pStyle w:val="RSC2-columntabs"/>
        <w:rPr>
          <w:lang w:eastAsia="en-GB"/>
        </w:rPr>
      </w:pPr>
    </w:p>
    <w:sectPr w:rsidR="00336CBF" w:rsidSect="00231C1C">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FCDA1" w14:textId="77777777" w:rsidR="00F03F19" w:rsidRDefault="00F03F19" w:rsidP="008A1B0B">
      <w:pPr>
        <w:spacing w:after="0" w:line="240" w:lineRule="auto"/>
      </w:pPr>
      <w:r>
        <w:separator/>
      </w:r>
    </w:p>
  </w:endnote>
  <w:endnote w:type="continuationSeparator" w:id="0">
    <w:p w14:paraId="2C040085" w14:textId="77777777" w:rsidR="00F03F19" w:rsidRDefault="00F03F19" w:rsidP="008A1B0B">
      <w:pPr>
        <w:spacing w:after="0" w:line="240" w:lineRule="auto"/>
      </w:pPr>
      <w:r>
        <w:continuationSeparator/>
      </w:r>
    </w:p>
  </w:endnote>
  <w:endnote w:type="continuationNotice" w:id="1">
    <w:p w14:paraId="53432112" w14:textId="77777777" w:rsidR="00F03F19" w:rsidRDefault="00F03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2AC6FD11"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D5C6F">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3735" w14:textId="77777777" w:rsidR="00F03F19" w:rsidRDefault="00F03F19" w:rsidP="008A1B0B">
      <w:pPr>
        <w:spacing w:after="0" w:line="240" w:lineRule="auto"/>
      </w:pPr>
      <w:r>
        <w:separator/>
      </w:r>
    </w:p>
  </w:footnote>
  <w:footnote w:type="continuationSeparator" w:id="0">
    <w:p w14:paraId="69C95337" w14:textId="77777777" w:rsidR="00F03F19" w:rsidRDefault="00F03F19" w:rsidP="008A1B0B">
      <w:pPr>
        <w:spacing w:after="0" w:line="240" w:lineRule="auto"/>
      </w:pPr>
      <w:r>
        <w:continuationSeparator/>
      </w:r>
    </w:p>
  </w:footnote>
  <w:footnote w:type="continuationNotice" w:id="1">
    <w:p w14:paraId="359821EC" w14:textId="77777777" w:rsidR="00F03F19" w:rsidRDefault="00F03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653F6F85"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0" behindDoc="0" locked="0" layoutInCell="1" allowOverlap="1" wp14:anchorId="0B20ED95" wp14:editId="205C1586">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1" behindDoc="1" locked="0" layoutInCell="1" allowOverlap="1" wp14:anchorId="6205F037" wp14:editId="07B28808">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336CBF">
      <w:rPr>
        <w:rFonts w:ascii="Century Gothic" w:hAnsi="Century Gothic"/>
        <w:b/>
        <w:bCs/>
        <w:color w:val="C8102E"/>
        <w:sz w:val="30"/>
        <w:szCs w:val="30"/>
      </w:rPr>
      <w:t>Unscrambling definitions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11E44D91"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5646E1" w:rsidRPr="005646E1">
      <w:rPr>
        <w:rFonts w:ascii="Century Gothic" w:hAnsi="Century Gothic"/>
        <w:b/>
        <w:bCs/>
        <w:color w:val="C00000"/>
        <w:sz w:val="18"/>
        <w:szCs w:val="18"/>
      </w:rPr>
      <w:t>rsc.li/4js7w2I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4"/>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5"/>
  </w:num>
  <w:num w:numId="18" w16cid:durableId="2137213637">
    <w:abstractNumId w:val="9"/>
  </w:num>
  <w:num w:numId="19" w16cid:durableId="26407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3D6"/>
    <w:rsid w:val="0002658C"/>
    <w:rsid w:val="00034F44"/>
    <w:rsid w:val="00036830"/>
    <w:rsid w:val="00040722"/>
    <w:rsid w:val="00056090"/>
    <w:rsid w:val="00063F30"/>
    <w:rsid w:val="000647E4"/>
    <w:rsid w:val="00072C1A"/>
    <w:rsid w:val="000832B6"/>
    <w:rsid w:val="000866AC"/>
    <w:rsid w:val="00092315"/>
    <w:rsid w:val="00092796"/>
    <w:rsid w:val="000A31FD"/>
    <w:rsid w:val="000A6732"/>
    <w:rsid w:val="000A768F"/>
    <w:rsid w:val="000B0FE6"/>
    <w:rsid w:val="000D005D"/>
    <w:rsid w:val="000E5F58"/>
    <w:rsid w:val="00106210"/>
    <w:rsid w:val="0013516C"/>
    <w:rsid w:val="001614DF"/>
    <w:rsid w:val="00190670"/>
    <w:rsid w:val="001A2E7D"/>
    <w:rsid w:val="001D4E36"/>
    <w:rsid w:val="00205236"/>
    <w:rsid w:val="00231C1C"/>
    <w:rsid w:val="0023536A"/>
    <w:rsid w:val="00240AC0"/>
    <w:rsid w:val="00260390"/>
    <w:rsid w:val="002662B6"/>
    <w:rsid w:val="002763E0"/>
    <w:rsid w:val="002A57CF"/>
    <w:rsid w:val="002A77FF"/>
    <w:rsid w:val="002C2223"/>
    <w:rsid w:val="002D34BA"/>
    <w:rsid w:val="002E47CA"/>
    <w:rsid w:val="00301D13"/>
    <w:rsid w:val="003059AB"/>
    <w:rsid w:val="00336CBF"/>
    <w:rsid w:val="00352152"/>
    <w:rsid w:val="00362CC1"/>
    <w:rsid w:val="003716B9"/>
    <w:rsid w:val="00394110"/>
    <w:rsid w:val="003A6537"/>
    <w:rsid w:val="003E1A34"/>
    <w:rsid w:val="003E1B68"/>
    <w:rsid w:val="003E3E15"/>
    <w:rsid w:val="003E5776"/>
    <w:rsid w:val="003F2EF3"/>
    <w:rsid w:val="00435221"/>
    <w:rsid w:val="00437049"/>
    <w:rsid w:val="0046389A"/>
    <w:rsid w:val="0046732A"/>
    <w:rsid w:val="004769A1"/>
    <w:rsid w:val="004A2DF1"/>
    <w:rsid w:val="004A6C93"/>
    <w:rsid w:val="004D46C0"/>
    <w:rsid w:val="004F69AD"/>
    <w:rsid w:val="004F7DE2"/>
    <w:rsid w:val="00516D0D"/>
    <w:rsid w:val="00516F80"/>
    <w:rsid w:val="00525B8C"/>
    <w:rsid w:val="00526269"/>
    <w:rsid w:val="00526829"/>
    <w:rsid w:val="00560449"/>
    <w:rsid w:val="005646E1"/>
    <w:rsid w:val="005820B0"/>
    <w:rsid w:val="00595C38"/>
    <w:rsid w:val="005B1182"/>
    <w:rsid w:val="005E7634"/>
    <w:rsid w:val="005F0459"/>
    <w:rsid w:val="00612391"/>
    <w:rsid w:val="00612C6B"/>
    <w:rsid w:val="00623804"/>
    <w:rsid w:val="006509BC"/>
    <w:rsid w:val="006820BE"/>
    <w:rsid w:val="006C312F"/>
    <w:rsid w:val="006C7B0F"/>
    <w:rsid w:val="006D790E"/>
    <w:rsid w:val="007042E5"/>
    <w:rsid w:val="00730C6C"/>
    <w:rsid w:val="00741ECD"/>
    <w:rsid w:val="007424D7"/>
    <w:rsid w:val="00757152"/>
    <w:rsid w:val="00764810"/>
    <w:rsid w:val="007744E0"/>
    <w:rsid w:val="007859BF"/>
    <w:rsid w:val="00793A37"/>
    <w:rsid w:val="007947F1"/>
    <w:rsid w:val="007A0FF4"/>
    <w:rsid w:val="007A13EE"/>
    <w:rsid w:val="007A6DEE"/>
    <w:rsid w:val="007B7DCE"/>
    <w:rsid w:val="0080546C"/>
    <w:rsid w:val="00813905"/>
    <w:rsid w:val="00826955"/>
    <w:rsid w:val="00835B9C"/>
    <w:rsid w:val="00841A83"/>
    <w:rsid w:val="00856124"/>
    <w:rsid w:val="00873951"/>
    <w:rsid w:val="0089187A"/>
    <w:rsid w:val="008A1B0B"/>
    <w:rsid w:val="008B7586"/>
    <w:rsid w:val="008C0669"/>
    <w:rsid w:val="008F3DF3"/>
    <w:rsid w:val="0093619B"/>
    <w:rsid w:val="00963C34"/>
    <w:rsid w:val="00965B31"/>
    <w:rsid w:val="00973447"/>
    <w:rsid w:val="009A2821"/>
    <w:rsid w:val="009A3093"/>
    <w:rsid w:val="009E33D8"/>
    <w:rsid w:val="009F2A98"/>
    <w:rsid w:val="00A11D47"/>
    <w:rsid w:val="00A177A3"/>
    <w:rsid w:val="00A30CA4"/>
    <w:rsid w:val="00A34D68"/>
    <w:rsid w:val="00A4361D"/>
    <w:rsid w:val="00A5348B"/>
    <w:rsid w:val="00A55D0E"/>
    <w:rsid w:val="00A571EB"/>
    <w:rsid w:val="00A5740C"/>
    <w:rsid w:val="00A61750"/>
    <w:rsid w:val="00A66348"/>
    <w:rsid w:val="00A725C3"/>
    <w:rsid w:val="00A84218"/>
    <w:rsid w:val="00AA2BEE"/>
    <w:rsid w:val="00AB639C"/>
    <w:rsid w:val="00AB74D1"/>
    <w:rsid w:val="00AD6F25"/>
    <w:rsid w:val="00B07819"/>
    <w:rsid w:val="00B10E48"/>
    <w:rsid w:val="00B226A7"/>
    <w:rsid w:val="00B32608"/>
    <w:rsid w:val="00B600BB"/>
    <w:rsid w:val="00B64D9D"/>
    <w:rsid w:val="00B67A03"/>
    <w:rsid w:val="00B71E66"/>
    <w:rsid w:val="00B721F1"/>
    <w:rsid w:val="00B7653C"/>
    <w:rsid w:val="00B92789"/>
    <w:rsid w:val="00BC4BE9"/>
    <w:rsid w:val="00BC5741"/>
    <w:rsid w:val="00BD1443"/>
    <w:rsid w:val="00BD5C6F"/>
    <w:rsid w:val="00BD6A9A"/>
    <w:rsid w:val="00BE4DC0"/>
    <w:rsid w:val="00BE57B7"/>
    <w:rsid w:val="00BF402A"/>
    <w:rsid w:val="00C0065B"/>
    <w:rsid w:val="00C02BA3"/>
    <w:rsid w:val="00C1703F"/>
    <w:rsid w:val="00C322CA"/>
    <w:rsid w:val="00C34AB1"/>
    <w:rsid w:val="00C6122F"/>
    <w:rsid w:val="00C644EC"/>
    <w:rsid w:val="00C86EBF"/>
    <w:rsid w:val="00CD5E3C"/>
    <w:rsid w:val="00D247FE"/>
    <w:rsid w:val="00D24A72"/>
    <w:rsid w:val="00D444BA"/>
    <w:rsid w:val="00D56C1B"/>
    <w:rsid w:val="00D62A21"/>
    <w:rsid w:val="00D6411A"/>
    <w:rsid w:val="00D65F79"/>
    <w:rsid w:val="00D732BB"/>
    <w:rsid w:val="00D84B8D"/>
    <w:rsid w:val="00D92EA9"/>
    <w:rsid w:val="00D96A53"/>
    <w:rsid w:val="00DC6727"/>
    <w:rsid w:val="00DE4519"/>
    <w:rsid w:val="00DF13E5"/>
    <w:rsid w:val="00DF1C5C"/>
    <w:rsid w:val="00E174ED"/>
    <w:rsid w:val="00E23EAC"/>
    <w:rsid w:val="00E36D24"/>
    <w:rsid w:val="00E40264"/>
    <w:rsid w:val="00E408AC"/>
    <w:rsid w:val="00E420C1"/>
    <w:rsid w:val="00E47CCE"/>
    <w:rsid w:val="00E532F6"/>
    <w:rsid w:val="00E62A67"/>
    <w:rsid w:val="00E75067"/>
    <w:rsid w:val="00ED698B"/>
    <w:rsid w:val="00EF3FDA"/>
    <w:rsid w:val="00F03F19"/>
    <w:rsid w:val="00F204EB"/>
    <w:rsid w:val="00F51351"/>
    <w:rsid w:val="00F55FE1"/>
    <w:rsid w:val="00F709FB"/>
    <w:rsid w:val="00F71CF7"/>
    <w:rsid w:val="00F94905"/>
    <w:rsid w:val="00FB3BE3"/>
    <w:rsid w:val="00FC54F8"/>
    <w:rsid w:val="00FC6ABD"/>
    <w:rsid w:val="00FD124C"/>
    <w:rsid w:val="00FD6697"/>
    <w:rsid w:val="00FE26E8"/>
    <w:rsid w:val="00FF382F"/>
    <w:rsid w:val="00FF6FBF"/>
    <w:rsid w:val="210EB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paragraph" w:styleId="CommentText0">
    <w:name w:val="annotation text"/>
    <w:basedOn w:val="Normal"/>
    <w:link w:val="CommentTextChar"/>
    <w:uiPriority w:val="99"/>
    <w:unhideWhenUsed/>
    <w:rsid w:val="00F51351"/>
    <w:pPr>
      <w:keepLines/>
      <w:spacing w:after="240" w:line="240" w:lineRule="auto"/>
      <w:jc w:val="left"/>
      <w:outlineLvl w:val="9"/>
    </w:pPr>
    <w:rPr>
      <w:lang w:eastAsia="en-US"/>
    </w:rPr>
  </w:style>
  <w:style w:type="character" w:customStyle="1" w:styleId="CommentTextChar">
    <w:name w:val="Comment Text Char"/>
    <w:basedOn w:val="DefaultParagraphFont"/>
    <w:link w:val="CommentText0"/>
    <w:uiPriority w:val="99"/>
    <w:rsid w:val="00F51351"/>
    <w:rPr>
      <w:rFonts w:ascii="Arial" w:hAnsi="Arial" w:cs="Arial"/>
      <w:sz w:val="20"/>
      <w:szCs w:val="20"/>
    </w:rPr>
  </w:style>
  <w:style w:type="character" w:styleId="CommentReference">
    <w:name w:val="annotation reference"/>
    <w:basedOn w:val="DefaultParagraphFont"/>
    <w:uiPriority w:val="99"/>
    <w:semiHidden/>
    <w:unhideWhenUsed/>
    <w:rsid w:val="00F51351"/>
    <w:rPr>
      <w:sz w:val="16"/>
      <w:szCs w:val="16"/>
    </w:rPr>
  </w:style>
  <w:style w:type="paragraph" w:styleId="CommentSubject">
    <w:name w:val="annotation subject"/>
    <w:basedOn w:val="CommentText0"/>
    <w:next w:val="CommentText0"/>
    <w:link w:val="CommentSubjectChar"/>
    <w:uiPriority w:val="99"/>
    <w:semiHidden/>
    <w:unhideWhenUsed/>
    <w:rsid w:val="00963C34"/>
    <w:pPr>
      <w:keepLines w:val="0"/>
      <w:spacing w:after="120"/>
      <w:jc w:val="both"/>
      <w:outlineLvl w:val="0"/>
    </w:pPr>
    <w:rPr>
      <w:b/>
      <w:bCs/>
      <w:lang w:eastAsia="zh-CN"/>
    </w:rPr>
  </w:style>
  <w:style w:type="character" w:customStyle="1" w:styleId="CommentSubjectChar">
    <w:name w:val="Comment Subject Char"/>
    <w:basedOn w:val="CommentTextChar"/>
    <w:link w:val="CommentSubject"/>
    <w:uiPriority w:val="99"/>
    <w:semiHidden/>
    <w:rsid w:val="00963C34"/>
    <w:rPr>
      <w:rFonts w:ascii="Arial" w:hAnsi="Arial" w:cs="Arial"/>
      <w:b/>
      <w:bCs/>
      <w:sz w:val="20"/>
      <w:szCs w:val="20"/>
      <w:lang w:eastAsia="zh-CN"/>
    </w:rPr>
  </w:style>
  <w:style w:type="paragraph" w:styleId="Revision">
    <w:name w:val="Revision"/>
    <w:hidden/>
    <w:uiPriority w:val="99"/>
    <w:semiHidden/>
    <w:rsid w:val="00856124"/>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3521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7266">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68782137">
      <w:bodyDiv w:val="1"/>
      <w:marLeft w:val="0"/>
      <w:marRight w:val="0"/>
      <w:marTop w:val="0"/>
      <w:marBottom w:val="0"/>
      <w:divBdr>
        <w:top w:val="none" w:sz="0" w:space="0" w:color="auto"/>
        <w:left w:val="none" w:sz="0" w:space="0" w:color="auto"/>
        <w:bottom w:val="none" w:sz="0" w:space="0" w:color="auto"/>
        <w:right w:val="none" w:sz="0" w:space="0" w:color="auto"/>
      </w:divBdr>
    </w:div>
    <w:div w:id="284166434">
      <w:bodyDiv w:val="1"/>
      <w:marLeft w:val="0"/>
      <w:marRight w:val="0"/>
      <w:marTop w:val="0"/>
      <w:marBottom w:val="0"/>
      <w:divBdr>
        <w:top w:val="none" w:sz="0" w:space="0" w:color="auto"/>
        <w:left w:val="none" w:sz="0" w:space="0" w:color="auto"/>
        <w:bottom w:val="none" w:sz="0" w:space="0" w:color="auto"/>
        <w:right w:val="none" w:sz="0" w:space="0" w:color="auto"/>
      </w:divBdr>
    </w:div>
    <w:div w:id="502936881">
      <w:bodyDiv w:val="1"/>
      <w:marLeft w:val="0"/>
      <w:marRight w:val="0"/>
      <w:marTop w:val="0"/>
      <w:marBottom w:val="0"/>
      <w:divBdr>
        <w:top w:val="none" w:sz="0" w:space="0" w:color="auto"/>
        <w:left w:val="none" w:sz="0" w:space="0" w:color="auto"/>
        <w:bottom w:val="none" w:sz="0" w:space="0" w:color="auto"/>
        <w:right w:val="none" w:sz="0" w:space="0" w:color="auto"/>
      </w:divBdr>
    </w:div>
    <w:div w:id="879897370">
      <w:bodyDiv w:val="1"/>
      <w:marLeft w:val="0"/>
      <w:marRight w:val="0"/>
      <w:marTop w:val="0"/>
      <w:marBottom w:val="0"/>
      <w:divBdr>
        <w:top w:val="none" w:sz="0" w:space="0" w:color="auto"/>
        <w:left w:val="none" w:sz="0" w:space="0" w:color="auto"/>
        <w:bottom w:val="none" w:sz="0" w:space="0" w:color="auto"/>
        <w:right w:val="none" w:sz="0" w:space="0" w:color="auto"/>
      </w:divBdr>
    </w:div>
    <w:div w:id="914972027">
      <w:bodyDiv w:val="1"/>
      <w:marLeft w:val="0"/>
      <w:marRight w:val="0"/>
      <w:marTop w:val="0"/>
      <w:marBottom w:val="0"/>
      <w:divBdr>
        <w:top w:val="none" w:sz="0" w:space="0" w:color="auto"/>
        <w:left w:val="none" w:sz="0" w:space="0" w:color="auto"/>
        <w:bottom w:val="none" w:sz="0" w:space="0" w:color="auto"/>
        <w:right w:val="none" w:sz="0" w:space="0" w:color="auto"/>
      </w:divBdr>
    </w:div>
    <w:div w:id="1004477535">
      <w:bodyDiv w:val="1"/>
      <w:marLeft w:val="0"/>
      <w:marRight w:val="0"/>
      <w:marTop w:val="0"/>
      <w:marBottom w:val="0"/>
      <w:divBdr>
        <w:top w:val="none" w:sz="0" w:space="0" w:color="auto"/>
        <w:left w:val="none" w:sz="0" w:space="0" w:color="auto"/>
        <w:bottom w:val="none" w:sz="0" w:space="0" w:color="auto"/>
        <w:right w:val="none" w:sz="0" w:space="0" w:color="auto"/>
      </w:divBdr>
    </w:div>
    <w:div w:id="1099177484">
      <w:bodyDiv w:val="1"/>
      <w:marLeft w:val="0"/>
      <w:marRight w:val="0"/>
      <w:marTop w:val="0"/>
      <w:marBottom w:val="0"/>
      <w:divBdr>
        <w:top w:val="none" w:sz="0" w:space="0" w:color="auto"/>
        <w:left w:val="none" w:sz="0" w:space="0" w:color="auto"/>
        <w:bottom w:val="none" w:sz="0" w:space="0" w:color="auto"/>
        <w:right w:val="none" w:sz="0" w:space="0" w:color="auto"/>
      </w:divBdr>
    </w:div>
    <w:div w:id="1144395679">
      <w:bodyDiv w:val="1"/>
      <w:marLeft w:val="0"/>
      <w:marRight w:val="0"/>
      <w:marTop w:val="0"/>
      <w:marBottom w:val="0"/>
      <w:divBdr>
        <w:top w:val="none" w:sz="0" w:space="0" w:color="auto"/>
        <w:left w:val="none" w:sz="0" w:space="0" w:color="auto"/>
        <w:bottom w:val="none" w:sz="0" w:space="0" w:color="auto"/>
        <w:right w:val="none" w:sz="0" w:space="0" w:color="auto"/>
      </w:divBdr>
    </w:div>
    <w:div w:id="1205172434">
      <w:bodyDiv w:val="1"/>
      <w:marLeft w:val="0"/>
      <w:marRight w:val="0"/>
      <w:marTop w:val="0"/>
      <w:marBottom w:val="0"/>
      <w:divBdr>
        <w:top w:val="none" w:sz="0" w:space="0" w:color="auto"/>
        <w:left w:val="none" w:sz="0" w:space="0" w:color="auto"/>
        <w:bottom w:val="none" w:sz="0" w:space="0" w:color="auto"/>
        <w:right w:val="none" w:sz="0" w:space="0" w:color="auto"/>
      </w:divBdr>
    </w:div>
    <w:div w:id="1321081279">
      <w:bodyDiv w:val="1"/>
      <w:marLeft w:val="0"/>
      <w:marRight w:val="0"/>
      <w:marTop w:val="0"/>
      <w:marBottom w:val="0"/>
      <w:divBdr>
        <w:top w:val="none" w:sz="0" w:space="0" w:color="auto"/>
        <w:left w:val="none" w:sz="0" w:space="0" w:color="auto"/>
        <w:bottom w:val="none" w:sz="0" w:space="0" w:color="auto"/>
        <w:right w:val="none" w:sz="0" w:space="0" w:color="auto"/>
      </w:divBdr>
    </w:div>
    <w:div w:id="194919907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rsc.li/4js7w2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sc.li/3Gda32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00948aae249440f3e294fc71be63388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4a3bcf4f1f21d38c3b01b4be5a40106a"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F22003-2E35-4FC6-AA8E-CACE7FBA990B}">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17128B71-011A-48AD-BBD3-D038E01D344B}">
  <ds:schemaRefs>
    <ds:schemaRef ds:uri="http://schemas.microsoft.com/sharepoint/v3/contenttype/forms"/>
  </ds:schemaRefs>
</ds:datastoreItem>
</file>

<file path=customXml/itemProps3.xml><?xml version="1.0" encoding="utf-8"?>
<ds:datastoreItem xmlns:ds="http://schemas.openxmlformats.org/officeDocument/2006/customXml" ds:itemID="{8F1499CB-63E6-4E62-B14A-F904398DF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2852</Characters>
  <Application>Microsoft Office Word</Application>
  <DocSecurity>0</DocSecurity>
  <Lines>70</Lines>
  <Paragraphs>33</Paragraphs>
  <ScaleCrop>false</ScaleCrop>
  <Manager/>
  <Company>Royal Society of Chemistry</Company>
  <LinksUpToDate>false</LinksUpToDate>
  <CharactersWithSpaces>3380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Unscrambling definitions organic compounds and reactions teacher notes</dc:title>
  <dc:subject/>
  <dc:creator>Royal Society of Chemistry</dc:creator>
  <cp:keywords>unscrambling definitions; 14-16; alcohols; alkenes; carboxylic acids; condensation polymerisation and amino acids; representing organic compounds; vocabulary; chemistry; glossary, key terms, key words, language of science; communication</cp:keywords>
  <dc:description>From rsc.li/4js7w2I, student sheet and slides also available</dc:description>
  <cp:lastModifiedBy>Hannah Sycamore</cp:lastModifiedBy>
  <cp:revision>42</cp:revision>
  <dcterms:created xsi:type="dcterms:W3CDTF">2025-05-21T19:30:00Z</dcterms:created>
  <dcterms:modified xsi:type="dcterms:W3CDTF">2026-01-07T10:01:00Z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