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C4223" w14:textId="5160220F" w:rsidR="00336CBF" w:rsidRDefault="007D7EC6" w:rsidP="00336CBF">
      <w:pPr>
        <w:pStyle w:val="RSCH1"/>
        <w:rPr>
          <w:lang w:eastAsia="en-GB"/>
        </w:rPr>
      </w:pPr>
      <w:r>
        <w:rPr>
          <w:lang w:eastAsia="en-GB"/>
        </w:rPr>
        <w:t>Quantitative chemistry</w:t>
      </w:r>
    </w:p>
    <w:p w14:paraId="0FA1F1E3" w14:textId="5FA444E8" w:rsidR="00336CBF" w:rsidRDefault="00336CBF" w:rsidP="00336CBF">
      <w:pPr>
        <w:pStyle w:val="RSC2-columntabs"/>
        <w:rPr>
          <w:lang w:eastAsia="en-GB"/>
        </w:rPr>
      </w:pPr>
      <w:bookmarkStart w:id="0" w:name="_Hlk175233502"/>
      <w:r>
        <w:rPr>
          <w:lang w:eastAsia="en-GB"/>
        </w:rPr>
        <w:t xml:space="preserve">Unscrambling definitions is a fun way to test and consolidate </w:t>
      </w:r>
      <w:r w:rsidR="001B1B9F">
        <w:rPr>
          <w:lang w:eastAsia="en-GB"/>
        </w:rPr>
        <w:t>learners’</w:t>
      </w:r>
      <w:r>
        <w:rPr>
          <w:lang w:eastAsia="en-GB"/>
        </w:rPr>
        <w:t xml:space="preserve"> understanding of key terms and definitions. </w:t>
      </w:r>
      <w:r w:rsidR="001B1B9F">
        <w:rPr>
          <w:lang w:eastAsia="en-GB"/>
        </w:rPr>
        <w:t>Instruct l</w:t>
      </w:r>
      <w:r>
        <w:rPr>
          <w:lang w:eastAsia="en-GB"/>
        </w:rPr>
        <w:t xml:space="preserve">earners </w:t>
      </w:r>
      <w:r w:rsidR="001B1B9F">
        <w:rPr>
          <w:lang w:eastAsia="en-GB"/>
        </w:rPr>
        <w:t xml:space="preserve">to </w:t>
      </w:r>
      <w:r>
        <w:rPr>
          <w:lang w:eastAsia="en-GB"/>
        </w:rPr>
        <w:t xml:space="preserve">piece together </w:t>
      </w:r>
      <w:r w:rsidR="001B1B9F">
        <w:rPr>
          <w:lang w:eastAsia="en-GB"/>
        </w:rPr>
        <w:t>the</w:t>
      </w:r>
      <w:r>
        <w:rPr>
          <w:lang w:eastAsia="en-GB"/>
        </w:rPr>
        <w:t xml:space="preserve"> definitions and use their understanding of the terms to complete sentences</w:t>
      </w:r>
      <w:r w:rsidR="00A70459">
        <w:rPr>
          <w:lang w:eastAsia="en-GB"/>
        </w:rPr>
        <w:t xml:space="preserve">. Answers are given below </w:t>
      </w:r>
      <w:proofErr w:type="gramStart"/>
      <w:r w:rsidR="00A70459">
        <w:rPr>
          <w:lang w:eastAsia="en-GB"/>
        </w:rPr>
        <w:t>and also</w:t>
      </w:r>
      <w:proofErr w:type="gramEnd"/>
      <w:r w:rsidR="00A70459">
        <w:rPr>
          <w:lang w:eastAsia="en-GB"/>
        </w:rPr>
        <w:t xml:space="preserve"> provided as slides</w:t>
      </w:r>
      <w:r>
        <w:rPr>
          <w:lang w:eastAsia="en-GB"/>
        </w:rPr>
        <w:t xml:space="preserve">. Like the </w:t>
      </w:r>
      <w:r w:rsidR="00A70459">
        <w:rPr>
          <w:lang w:eastAsia="en-GB"/>
        </w:rPr>
        <w:t xml:space="preserve">accompanying </w:t>
      </w:r>
      <w:r>
        <w:rPr>
          <w:lang w:eastAsia="en-GB"/>
        </w:rPr>
        <w:t xml:space="preserve">Frayer models, unscrambling definitions probe learners’ understanding </w:t>
      </w:r>
      <w:r w:rsidR="00B97575">
        <w:rPr>
          <w:lang w:eastAsia="en-GB"/>
        </w:rPr>
        <w:t xml:space="preserve">and </w:t>
      </w:r>
      <w:r>
        <w:rPr>
          <w:lang w:eastAsia="en-GB"/>
        </w:rPr>
        <w:t>target the trickier terms in the key terms list.</w:t>
      </w:r>
    </w:p>
    <w:bookmarkEnd w:id="0"/>
    <w:p w14:paraId="52C95BA5" w14:textId="77777777" w:rsidR="00336CBF" w:rsidRDefault="00336CBF" w:rsidP="002223E4">
      <w:pPr>
        <w:pStyle w:val="RSCH2"/>
        <w:spacing w:before="360"/>
        <w:rPr>
          <w:lang w:eastAsia="en-GB"/>
        </w:rPr>
      </w:pPr>
      <w:r>
        <w:rPr>
          <w:lang w:eastAsia="en-GB"/>
        </w:rPr>
        <w:t>Ideas for adaptation</w:t>
      </w:r>
    </w:p>
    <w:p w14:paraId="11CD9C0A" w14:textId="77777777" w:rsidR="00336CBF" w:rsidRDefault="00336CBF" w:rsidP="00336CBF">
      <w:pPr>
        <w:pStyle w:val="RSC2-columntabs"/>
        <w:rPr>
          <w:lang w:eastAsia="en-GB"/>
        </w:rPr>
      </w:pPr>
      <w:r>
        <w:rPr>
          <w:lang w:eastAsia="en-GB"/>
        </w:rPr>
        <w:t xml:space="preserve">Integrate speaking and listening skills into this activity: </w:t>
      </w:r>
    </w:p>
    <w:p w14:paraId="17E7EFF8" w14:textId="77777777" w:rsidR="00336CBF" w:rsidRDefault="00336CBF" w:rsidP="00336CBF">
      <w:pPr>
        <w:pStyle w:val="RSCBulletedlist"/>
        <w:rPr>
          <w:lang w:eastAsia="en-GB"/>
        </w:rPr>
      </w:pPr>
      <w:r>
        <w:rPr>
          <w:lang w:eastAsia="en-GB"/>
        </w:rPr>
        <w:t>Print the unscrambling definitions grid and cut around the individual boxes. Learners each take a box and as a class or group, arrange themselves into the various definitions. When everyone is ready, each learner reads out their own part of the definition in turn.</w:t>
      </w:r>
    </w:p>
    <w:p w14:paraId="4C48535D" w14:textId="5BDFB5FE" w:rsidR="006B7B3A" w:rsidRDefault="006B7B3A" w:rsidP="00336CBF">
      <w:pPr>
        <w:pStyle w:val="RSCBulletedlist"/>
        <w:rPr>
          <w:lang w:eastAsia="en-GB"/>
        </w:rPr>
      </w:pPr>
      <w:r w:rsidRPr="006B7B3A">
        <w:rPr>
          <w:lang w:eastAsia="en-GB"/>
        </w:rPr>
        <w:t>For a quicker adaptation, consider doing a think, pair, share activity where learners discuss and decide on the correct definitions in pairs or small groups. </w:t>
      </w:r>
    </w:p>
    <w:p w14:paraId="37EDC9BF" w14:textId="77777777" w:rsidR="00336CBF" w:rsidRDefault="00336CBF" w:rsidP="00336CBF">
      <w:pPr>
        <w:pStyle w:val="RSCBulletedlist"/>
        <w:rPr>
          <w:lang w:eastAsia="en-GB"/>
        </w:rPr>
      </w:pPr>
      <w:r>
        <w:rPr>
          <w:lang w:eastAsia="en-GB"/>
        </w:rPr>
        <w:t>Ask learners to read out the connection completion slide in full</w:t>
      </w:r>
    </w:p>
    <w:p w14:paraId="0E28F4C6" w14:textId="41081C31" w:rsidR="00336CBF" w:rsidRDefault="00336CBF" w:rsidP="00746B44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>Provide more support by linking the term in column A to the correct entry in column B, and perhaps the entry in column B to the correct entry in column C, for the first few key terms in the grid.</w:t>
      </w:r>
    </w:p>
    <w:p w14:paraId="0CDEB1B5" w14:textId="77777777" w:rsidR="00746B44" w:rsidRDefault="00746B44" w:rsidP="00746B44">
      <w:pPr>
        <w:pStyle w:val="RSCBulletedlist"/>
        <w:numPr>
          <w:ilvl w:val="0"/>
          <w:numId w:val="0"/>
        </w:numPr>
        <w:rPr>
          <w:b/>
          <w:bCs/>
          <w:lang w:eastAsia="en-GB"/>
        </w:rPr>
      </w:pPr>
      <w:r w:rsidRPr="00746B44">
        <w:rPr>
          <w:lang w:eastAsia="en-GB"/>
        </w:rPr>
        <w:t>Read more about unscrambling definitions and their use: </w:t>
      </w:r>
      <w:hyperlink r:id="rId10" w:tgtFrame="_blank" w:history="1">
        <w:r w:rsidRPr="000265D4">
          <w:rPr>
            <w:rStyle w:val="Hyperlink"/>
            <w:color w:val="C00000"/>
            <w:lang w:eastAsia="en-GB"/>
          </w:rPr>
          <w:t>rsc.li/3Gda32t</w:t>
        </w:r>
      </w:hyperlink>
      <w:r w:rsidRPr="000265D4">
        <w:rPr>
          <w:color w:val="C00000"/>
          <w:lang w:eastAsia="en-GB"/>
        </w:rPr>
        <w:t> </w:t>
      </w:r>
    </w:p>
    <w:p w14:paraId="05AC8218" w14:textId="11413018" w:rsidR="00336CBF" w:rsidRDefault="00336CBF" w:rsidP="002223E4">
      <w:pPr>
        <w:pStyle w:val="RSCH2"/>
        <w:spacing w:before="360"/>
        <w:rPr>
          <w:lang w:eastAsia="en-GB"/>
        </w:rPr>
      </w:pPr>
      <w:r>
        <w:rPr>
          <w:lang w:eastAsia="en-GB"/>
        </w:rPr>
        <w:t>Answers</w:t>
      </w:r>
    </w:p>
    <w:p w14:paraId="7F984133" w14:textId="18F40C1E" w:rsidR="00746B44" w:rsidRDefault="00746B44" w:rsidP="00746B44">
      <w:pPr>
        <w:pStyle w:val="RSCBasictext"/>
        <w:rPr>
          <w:lang w:eastAsia="en-GB"/>
        </w:rPr>
      </w:pPr>
      <w:r w:rsidRPr="00746B44">
        <w:rPr>
          <w:lang w:eastAsia="en-GB"/>
        </w:rPr>
        <w:t>These are also supplied on the accompanying slides. </w:t>
      </w:r>
    </w:p>
    <w:p w14:paraId="4607964E" w14:textId="45ACA1F1" w:rsidR="00336CBF" w:rsidRDefault="00336CBF" w:rsidP="00336CBF">
      <w:pPr>
        <w:pStyle w:val="RSCH3"/>
        <w:rPr>
          <w:lang w:eastAsia="en-GB"/>
        </w:rPr>
      </w:pPr>
      <w:r w:rsidRPr="239DFFC5">
        <w:rPr>
          <w:lang w:eastAsia="en-GB"/>
        </w:rPr>
        <w:t>Unscrambl</w:t>
      </w:r>
      <w:r w:rsidR="000265D4">
        <w:rPr>
          <w:lang w:eastAsia="en-GB"/>
        </w:rPr>
        <w:t>ed</w:t>
      </w:r>
      <w:r w:rsidRPr="239DFFC5">
        <w:rPr>
          <w:lang w:eastAsia="en-GB"/>
        </w:rPr>
        <w:t xml:space="preserve"> definitions </w:t>
      </w:r>
    </w:p>
    <w:p w14:paraId="6178D3E1" w14:textId="02A035D4" w:rsidR="007A6DEE" w:rsidRPr="002223E4" w:rsidRDefault="00E90F74" w:rsidP="00324708">
      <w:pPr>
        <w:pStyle w:val="RSCUnderline"/>
        <w:jc w:val="left"/>
      </w:pPr>
      <w:bookmarkStart w:id="1" w:name="_Hlk165551393"/>
      <w:r w:rsidRPr="002223E4">
        <w:t>A</w:t>
      </w:r>
      <w:r w:rsidRPr="002223E4">
        <w:rPr>
          <w:b/>
          <w:bCs/>
        </w:rPr>
        <w:t xml:space="preserve"> limiting reactant </w:t>
      </w:r>
      <w:r w:rsidRPr="002223E4">
        <w:t xml:space="preserve">is completely used up in a chemical reaction, which therefore limits the </w:t>
      </w:r>
      <w:proofErr w:type="gramStart"/>
      <w:r w:rsidRPr="002223E4">
        <w:t>amount</w:t>
      </w:r>
      <w:proofErr w:type="gramEnd"/>
      <w:r w:rsidRPr="002223E4">
        <w:t xml:space="preserve"> of products that can be formed.</w:t>
      </w:r>
    </w:p>
    <w:p w14:paraId="394ECC5B" w14:textId="6A3C857A" w:rsidR="00E90F74" w:rsidRPr="002223E4" w:rsidRDefault="00E90F74" w:rsidP="00324708">
      <w:pPr>
        <w:pStyle w:val="RSCUnderline"/>
        <w:jc w:val="left"/>
      </w:pPr>
      <w:r w:rsidRPr="002223E4">
        <w:rPr>
          <w:b/>
          <w:bCs/>
        </w:rPr>
        <w:t>Excess reactant</w:t>
      </w:r>
      <w:r w:rsidRPr="002223E4">
        <w:t xml:space="preserve"> is not used up in a chemical reaction because another reactant has run out first.</w:t>
      </w:r>
    </w:p>
    <w:p w14:paraId="51244238" w14:textId="6885A1E2" w:rsidR="00E90F74" w:rsidRPr="002223E4" w:rsidRDefault="00E90F74" w:rsidP="00324708">
      <w:pPr>
        <w:tabs>
          <w:tab w:val="left" w:pos="6128"/>
        </w:tabs>
        <w:spacing w:before="120" w:line="259" w:lineRule="auto"/>
        <w:ind w:right="-1"/>
        <w:jc w:val="left"/>
        <w:rPr>
          <w:rFonts w:ascii="Century Gothic" w:hAnsi="Century Gothic"/>
          <w:sz w:val="22"/>
          <w:szCs w:val="22"/>
        </w:rPr>
      </w:pPr>
      <w:r w:rsidRPr="002223E4">
        <w:rPr>
          <w:rFonts w:ascii="Century Gothic" w:hAnsi="Century Gothic"/>
          <w:b/>
          <w:bCs/>
          <w:sz w:val="22"/>
          <w:szCs w:val="22"/>
        </w:rPr>
        <w:t>Atom economy</w:t>
      </w:r>
      <w:r w:rsidR="009638C9" w:rsidRPr="002223E4">
        <w:rPr>
          <w:rFonts w:ascii="Century Gothic" w:hAnsi="Century Gothic"/>
          <w:sz w:val="22"/>
          <w:szCs w:val="22"/>
        </w:rPr>
        <w:t xml:space="preserve"> is the mass of the desired product given as a percentage of the total mass of the reactants, in a balanced symbol equation.</w:t>
      </w:r>
    </w:p>
    <w:p w14:paraId="7129D53E" w14:textId="18E1E463" w:rsidR="00E90F74" w:rsidRPr="002223E4" w:rsidRDefault="00E90F74" w:rsidP="00324708">
      <w:pPr>
        <w:pStyle w:val="RSCUnderline"/>
        <w:jc w:val="left"/>
      </w:pPr>
      <w:r w:rsidRPr="002223E4">
        <w:rPr>
          <w:b/>
          <w:bCs/>
        </w:rPr>
        <w:t>Percentage composition</w:t>
      </w:r>
      <w:r w:rsidRPr="002223E4">
        <w:t xml:space="preserve"> is the relative mass of the atom(s) of one element in a compound, given as a percentage of the relative formula mass.</w:t>
      </w:r>
    </w:p>
    <w:p w14:paraId="0940ED86" w14:textId="35B0085D" w:rsidR="00E90F74" w:rsidRPr="002223E4" w:rsidRDefault="00E90F74" w:rsidP="00324708">
      <w:pPr>
        <w:spacing w:before="120" w:line="259" w:lineRule="auto"/>
        <w:jc w:val="left"/>
        <w:rPr>
          <w:rFonts w:ascii="Century Gothic" w:hAnsi="Century Gothic"/>
          <w:sz w:val="22"/>
          <w:szCs w:val="22"/>
        </w:rPr>
      </w:pPr>
      <w:r w:rsidRPr="002223E4">
        <w:rPr>
          <w:rFonts w:ascii="Century Gothic" w:hAnsi="Century Gothic"/>
          <w:sz w:val="22"/>
          <w:szCs w:val="22"/>
        </w:rPr>
        <w:t xml:space="preserve">A </w:t>
      </w:r>
      <w:r w:rsidRPr="002223E4">
        <w:rPr>
          <w:rFonts w:ascii="Century Gothic" w:hAnsi="Century Gothic"/>
          <w:b/>
          <w:bCs/>
          <w:sz w:val="22"/>
          <w:szCs w:val="22"/>
        </w:rPr>
        <w:t>mole (mol)</w:t>
      </w:r>
      <w:r w:rsidRPr="002223E4">
        <w:rPr>
          <w:rFonts w:ascii="Century Gothic" w:hAnsi="Century Gothic"/>
          <w:sz w:val="22"/>
          <w:szCs w:val="22"/>
        </w:rPr>
        <w:t xml:space="preserve"> is the unit of amount of substance, where one mole is </w:t>
      </w:r>
      <w:r w:rsidR="00007937" w:rsidRPr="002223E4">
        <w:rPr>
          <w:rFonts w:ascii="Century Gothic" w:hAnsi="Century Gothic"/>
          <w:sz w:val="22"/>
          <w:szCs w:val="22"/>
        </w:rPr>
        <w:t>6.02 x</w:t>
      </w:r>
      <w:r w:rsidR="00324708">
        <w:rPr>
          <w:rFonts w:ascii="Century Gothic" w:hAnsi="Century Gothic"/>
          <w:sz w:val="22"/>
          <w:szCs w:val="22"/>
        </w:rPr>
        <w:t xml:space="preserve"> </w:t>
      </w:r>
      <w:r w:rsidR="00007937" w:rsidRPr="002223E4">
        <w:rPr>
          <w:rFonts w:ascii="Century Gothic" w:hAnsi="Century Gothic"/>
          <w:sz w:val="22"/>
          <w:szCs w:val="22"/>
        </w:rPr>
        <w:t>10</w:t>
      </w:r>
      <w:r w:rsidR="00007937" w:rsidRPr="00F30D37">
        <w:rPr>
          <w:rFonts w:ascii="Century Gothic" w:hAnsi="Century Gothic"/>
          <w:position w:val="6"/>
          <w:sz w:val="22"/>
          <w:szCs w:val="22"/>
          <w:vertAlign w:val="superscript"/>
        </w:rPr>
        <w:t>23</w:t>
      </w:r>
      <w:r w:rsidR="00007937">
        <w:rPr>
          <w:rFonts w:ascii="Century Gothic" w:hAnsi="Century Gothic"/>
          <w:sz w:val="22"/>
          <w:szCs w:val="22"/>
          <w:vertAlign w:val="superscript"/>
        </w:rPr>
        <w:t xml:space="preserve"> </w:t>
      </w:r>
      <w:r w:rsidR="00007937">
        <w:rPr>
          <w:rFonts w:ascii="Century Gothic" w:hAnsi="Century Gothic"/>
          <w:sz w:val="22"/>
          <w:szCs w:val="22"/>
        </w:rPr>
        <w:t>(A</w:t>
      </w:r>
      <w:r w:rsidRPr="002223E4">
        <w:rPr>
          <w:rFonts w:ascii="Century Gothic" w:hAnsi="Century Gothic"/>
          <w:sz w:val="22"/>
          <w:szCs w:val="22"/>
        </w:rPr>
        <w:t>vogadro</w:t>
      </w:r>
      <w:r w:rsidR="00007937">
        <w:rPr>
          <w:rFonts w:ascii="Century Gothic" w:hAnsi="Century Gothic"/>
          <w:sz w:val="22"/>
          <w:szCs w:val="22"/>
        </w:rPr>
        <w:t>’s</w:t>
      </w:r>
      <w:r w:rsidRPr="002223E4">
        <w:rPr>
          <w:rFonts w:ascii="Century Gothic" w:hAnsi="Century Gothic"/>
          <w:sz w:val="22"/>
          <w:szCs w:val="22"/>
        </w:rPr>
        <w:t xml:space="preserve"> number</w:t>
      </w:r>
      <w:r w:rsidR="00007937">
        <w:rPr>
          <w:rFonts w:ascii="Century Gothic" w:hAnsi="Century Gothic"/>
          <w:sz w:val="22"/>
          <w:szCs w:val="22"/>
        </w:rPr>
        <w:t>)</w:t>
      </w:r>
      <w:r w:rsidRPr="002223E4">
        <w:rPr>
          <w:rFonts w:ascii="Century Gothic" w:hAnsi="Century Gothic"/>
          <w:sz w:val="22"/>
          <w:szCs w:val="22"/>
        </w:rPr>
        <w:t xml:space="preserve"> of atoms, molecules or formula units.</w:t>
      </w:r>
    </w:p>
    <w:p w14:paraId="0E7628F6" w14:textId="55E04C92" w:rsidR="00E90F74" w:rsidRPr="002223E4" w:rsidRDefault="00E90F74" w:rsidP="00324708">
      <w:pPr>
        <w:spacing w:before="120" w:line="259" w:lineRule="auto"/>
        <w:jc w:val="left"/>
        <w:rPr>
          <w:rFonts w:ascii="Century Gothic" w:hAnsi="Century Gothic"/>
          <w:sz w:val="22"/>
          <w:szCs w:val="22"/>
        </w:rPr>
      </w:pPr>
      <w:r w:rsidRPr="002223E4">
        <w:rPr>
          <w:rFonts w:ascii="Century Gothic" w:hAnsi="Century Gothic"/>
          <w:b/>
          <w:bCs/>
          <w:sz w:val="22"/>
          <w:szCs w:val="22"/>
        </w:rPr>
        <w:t>Avogadro</w:t>
      </w:r>
      <w:r w:rsidR="00E41531" w:rsidRPr="002223E4">
        <w:rPr>
          <w:rFonts w:ascii="Century Gothic" w:hAnsi="Century Gothic"/>
          <w:b/>
          <w:bCs/>
          <w:sz w:val="22"/>
          <w:szCs w:val="22"/>
        </w:rPr>
        <w:t>’s</w:t>
      </w:r>
      <w:r w:rsidRPr="002223E4">
        <w:rPr>
          <w:rFonts w:ascii="Century Gothic" w:hAnsi="Century Gothic"/>
          <w:b/>
          <w:bCs/>
          <w:sz w:val="22"/>
          <w:szCs w:val="22"/>
        </w:rPr>
        <w:t xml:space="preserve"> number</w:t>
      </w:r>
      <w:r w:rsidRPr="002223E4">
        <w:rPr>
          <w:rFonts w:ascii="Century Gothic" w:hAnsi="Century Gothic"/>
          <w:sz w:val="22"/>
          <w:szCs w:val="22"/>
        </w:rPr>
        <w:t xml:space="preserve"> is the number 6.02 x 10</w:t>
      </w:r>
      <w:r w:rsidRPr="00F30D37">
        <w:rPr>
          <w:rFonts w:ascii="Century Gothic" w:hAnsi="Century Gothic"/>
          <w:position w:val="6"/>
          <w:sz w:val="22"/>
          <w:szCs w:val="22"/>
          <w:vertAlign w:val="superscript"/>
        </w:rPr>
        <w:t>23</w:t>
      </w:r>
      <w:r w:rsidRPr="002223E4">
        <w:rPr>
          <w:rFonts w:ascii="Century Gothic" w:hAnsi="Century Gothic"/>
          <w:sz w:val="22"/>
          <w:szCs w:val="22"/>
        </w:rPr>
        <w:t>, which is the number of atoms, molecules or formula units in one mole of the substance.</w:t>
      </w:r>
    </w:p>
    <w:p w14:paraId="2BBDC2F5" w14:textId="76108642" w:rsidR="00E90F74" w:rsidRPr="002223E4" w:rsidRDefault="00E90F74" w:rsidP="00603549">
      <w:pPr>
        <w:spacing w:before="120" w:line="259" w:lineRule="auto"/>
        <w:jc w:val="left"/>
        <w:rPr>
          <w:rFonts w:ascii="Century Gothic" w:hAnsi="Century Gothic"/>
          <w:sz w:val="22"/>
          <w:szCs w:val="22"/>
        </w:rPr>
      </w:pPr>
      <w:r w:rsidRPr="002223E4">
        <w:rPr>
          <w:rFonts w:ascii="Century Gothic" w:hAnsi="Century Gothic"/>
          <w:sz w:val="22"/>
          <w:szCs w:val="22"/>
        </w:rPr>
        <w:lastRenderedPageBreak/>
        <w:t xml:space="preserve">The </w:t>
      </w:r>
      <w:r w:rsidRPr="002223E4">
        <w:rPr>
          <w:rFonts w:ascii="Century Gothic" w:hAnsi="Century Gothic"/>
          <w:b/>
          <w:bCs/>
          <w:sz w:val="22"/>
          <w:szCs w:val="22"/>
        </w:rPr>
        <w:t>end point</w:t>
      </w:r>
      <w:r w:rsidR="009638C9" w:rsidRPr="002223E4">
        <w:rPr>
          <w:rFonts w:ascii="Century Gothic" w:hAnsi="Century Gothic"/>
          <w:sz w:val="22"/>
          <w:szCs w:val="22"/>
        </w:rPr>
        <w:t xml:space="preserve"> in a titration</w:t>
      </w:r>
      <w:r w:rsidR="0027026E" w:rsidRPr="002223E4">
        <w:rPr>
          <w:rFonts w:ascii="Century Gothic" w:hAnsi="Century Gothic"/>
          <w:sz w:val="22"/>
          <w:szCs w:val="22"/>
        </w:rPr>
        <w:t xml:space="preserve"> is the exact volume added when</w:t>
      </w:r>
      <w:r w:rsidR="009638C9" w:rsidRPr="002223E4">
        <w:rPr>
          <w:rFonts w:ascii="Century Gothic" w:hAnsi="Century Gothic"/>
          <w:sz w:val="22"/>
          <w:szCs w:val="22"/>
        </w:rPr>
        <w:t xml:space="preserve"> the indicator changes colour.</w:t>
      </w:r>
    </w:p>
    <w:p w14:paraId="50B0C081" w14:textId="04C79532" w:rsidR="00E90F74" w:rsidRPr="001F4DE2" w:rsidRDefault="00107ABB" w:rsidP="00603549">
      <w:pPr>
        <w:spacing w:before="120" w:line="259" w:lineRule="auto"/>
        <w:jc w:val="left"/>
        <w:rPr>
          <w:rFonts w:ascii="Century Gothic" w:hAnsi="Century Gothic"/>
          <w:sz w:val="22"/>
          <w:szCs w:val="22"/>
        </w:rPr>
      </w:pPr>
      <w:r w:rsidRPr="002223E4">
        <w:rPr>
          <w:rFonts w:ascii="Century Gothic" w:hAnsi="Century Gothic"/>
          <w:sz w:val="22"/>
          <w:szCs w:val="22"/>
        </w:rPr>
        <w:t xml:space="preserve">The </w:t>
      </w:r>
      <w:r w:rsidRPr="002223E4">
        <w:rPr>
          <w:rFonts w:ascii="Century Gothic" w:hAnsi="Century Gothic"/>
          <w:b/>
          <w:bCs/>
          <w:sz w:val="22"/>
          <w:szCs w:val="22"/>
        </w:rPr>
        <w:t>titre</w:t>
      </w:r>
      <w:r w:rsidRPr="002223E4">
        <w:rPr>
          <w:rFonts w:ascii="Century Gothic" w:hAnsi="Century Gothic"/>
          <w:sz w:val="22"/>
          <w:szCs w:val="22"/>
        </w:rPr>
        <w:t xml:space="preserve"> is the volume of solution added from the burette that is needed to reach the end point.</w:t>
      </w:r>
    </w:p>
    <w:bookmarkEnd w:id="1"/>
    <w:p w14:paraId="0149E66D" w14:textId="77777777" w:rsidR="00336CBF" w:rsidRDefault="00336CBF" w:rsidP="00336CBF">
      <w:pPr>
        <w:pStyle w:val="RSCH3"/>
        <w:rPr>
          <w:lang w:eastAsia="en-GB"/>
        </w:rPr>
      </w:pPr>
      <w:r>
        <w:rPr>
          <w:lang w:eastAsia="en-GB"/>
        </w:rPr>
        <w:t xml:space="preserve">Connection </w:t>
      </w:r>
      <w:r w:rsidRPr="00A51C27">
        <w:rPr>
          <w:lang w:eastAsia="en-GB"/>
        </w:rPr>
        <w:t>compl</w:t>
      </w:r>
      <w:r>
        <w:rPr>
          <w:lang w:eastAsia="en-GB"/>
        </w:rPr>
        <w:t>etion answers</w:t>
      </w:r>
    </w:p>
    <w:p w14:paraId="0B19980D" w14:textId="3F3EB4BB" w:rsidR="00336CBF" w:rsidRPr="009638C9" w:rsidRDefault="00336CBF" w:rsidP="00336CBF">
      <w:pPr>
        <w:pStyle w:val="RSC2-columntabs"/>
        <w:rPr>
          <w:lang w:eastAsia="en-GB"/>
        </w:rPr>
      </w:pPr>
      <w:r w:rsidRPr="009638C9">
        <w:t xml:space="preserve">Learners should choose row </w:t>
      </w:r>
      <w:r w:rsidR="009638C9" w:rsidRPr="009638C9">
        <w:t>D</w:t>
      </w:r>
      <w:r w:rsidRPr="009638C9">
        <w:t xml:space="preserve"> as the correct connections for the sentences.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2"/>
        <w:gridCol w:w="2671"/>
        <w:gridCol w:w="2671"/>
        <w:gridCol w:w="2672"/>
      </w:tblGrid>
      <w:tr w:rsidR="009638C9" w14:paraId="0F7F7774" w14:textId="77777777" w:rsidTr="006A159C">
        <w:trPr>
          <w:trHeight w:val="482"/>
          <w:jc w:val="center"/>
        </w:trPr>
        <w:tc>
          <w:tcPr>
            <w:tcW w:w="1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6E0C0"/>
            <w:vAlign w:val="center"/>
            <w:hideMark/>
          </w:tcPr>
          <w:p w14:paraId="6FEAE3E4" w14:textId="043FC9F7" w:rsidR="009638C9" w:rsidRPr="00C432CD" w:rsidRDefault="009638C9" w:rsidP="009638C9">
            <w:pPr>
              <w:spacing w:after="0" w:line="256" w:lineRule="auto"/>
              <w:ind w:left="0" w:right="34"/>
              <w:jc w:val="center"/>
              <w:rPr>
                <w:rFonts w:ascii="Century Gothic" w:hAnsi="Century Gothic"/>
                <w:b/>
                <w:bCs/>
                <w:color w:val="C8102E"/>
                <w:sz w:val="22"/>
                <w:szCs w:val="22"/>
                <w:highlight w:val="yellow"/>
              </w:rPr>
            </w:pPr>
            <w:r w:rsidRPr="000279AE">
              <w:rPr>
                <w:rFonts w:ascii="Century Gothic" w:hAnsi="Century Gothic"/>
                <w:b/>
                <w:bCs/>
                <w:color w:val="C8102E"/>
              </w:rPr>
              <w:t>D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359DE0" w14:textId="44041531" w:rsidR="009638C9" w:rsidRPr="00C432CD" w:rsidRDefault="009638C9" w:rsidP="009638C9">
            <w:pPr>
              <w:pStyle w:val="RSCBasictext"/>
              <w:spacing w:after="0"/>
              <w:ind w:left="0"/>
              <w:jc w:val="center"/>
              <w:rPr>
                <w:highlight w:val="yellow"/>
              </w:rPr>
            </w:pPr>
            <w:r w:rsidRPr="000279AE">
              <w:t>as a result of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F655CC" w14:textId="043AA8FD" w:rsidR="009638C9" w:rsidRPr="00C432CD" w:rsidRDefault="009638C9" w:rsidP="009638C9">
            <w:pPr>
              <w:pStyle w:val="RSCBasictext"/>
              <w:spacing w:after="0"/>
              <w:ind w:left="0"/>
              <w:jc w:val="center"/>
              <w:rPr>
                <w:highlight w:val="yellow"/>
              </w:rPr>
            </w:pPr>
            <w:r w:rsidRPr="000279AE">
              <w:t>consequently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462829" w14:textId="79FF0052" w:rsidR="009638C9" w:rsidRPr="0013394E" w:rsidRDefault="009638C9" w:rsidP="009638C9">
            <w:pPr>
              <w:pStyle w:val="RSCBasictext"/>
              <w:spacing w:after="0"/>
              <w:ind w:left="0"/>
              <w:jc w:val="center"/>
            </w:pPr>
            <w:proofErr w:type="gramStart"/>
            <w:r w:rsidRPr="000279AE">
              <w:t>however</w:t>
            </w:r>
            <w:proofErr w:type="gramEnd"/>
          </w:p>
        </w:tc>
      </w:tr>
    </w:tbl>
    <w:p w14:paraId="2816465A" w14:textId="77777777" w:rsidR="00336CBF" w:rsidRDefault="00336CBF" w:rsidP="00336CBF">
      <w:pPr>
        <w:pStyle w:val="RSC2-columntabs"/>
      </w:pPr>
    </w:p>
    <w:p w14:paraId="7995C0C9" w14:textId="25AF96AE" w:rsidR="00336CBF" w:rsidRDefault="00336CBF" w:rsidP="00336CBF">
      <w:pPr>
        <w:pStyle w:val="RSC2-columntabs"/>
      </w:pPr>
      <w:r>
        <w:t>Completed sentences:</w:t>
      </w:r>
    </w:p>
    <w:p w14:paraId="50A5A77E" w14:textId="77777777" w:rsidR="00B95BB1" w:rsidRDefault="009638C9" w:rsidP="00B95BB1">
      <w:pPr>
        <w:pStyle w:val="RSC2-columntabs"/>
      </w:pPr>
      <w:r w:rsidRPr="009638C9">
        <w:t xml:space="preserve">In a titration, a neutralisation reaction occurs, and the end point is determined </w:t>
      </w:r>
      <w:r>
        <w:rPr>
          <w:b/>
          <w:bCs/>
          <w:color w:val="C8102E"/>
        </w:rPr>
        <w:t>as a result of</w:t>
      </w:r>
      <w:r w:rsidRPr="009638C9">
        <w:t xml:space="preserve"> a colour change in the indicator. The titre allows us to calculate the number of moles of the chemical in the burette which </w:t>
      </w:r>
      <w:r>
        <w:rPr>
          <w:b/>
          <w:bCs/>
          <w:color w:val="C8102E"/>
        </w:rPr>
        <w:t>consequently</w:t>
      </w:r>
      <w:r w:rsidRPr="009638C9">
        <w:t xml:space="preserve"> enables us to calculate the number of moles in the solution of unknown concentration. If,</w:t>
      </w:r>
      <w:r w:rsidRPr="009638C9">
        <w:rPr>
          <w:b/>
          <w:bCs/>
          <w:color w:val="C8102E"/>
        </w:rPr>
        <w:t xml:space="preserve"> </w:t>
      </w:r>
      <w:r>
        <w:rPr>
          <w:b/>
          <w:bCs/>
          <w:color w:val="C8102E"/>
        </w:rPr>
        <w:t>however</w:t>
      </w:r>
      <w:r w:rsidRPr="009638C9">
        <w:t>, the end point is overshot, there will excess reactant remaining and the titre reading will be incorrect.</w:t>
      </w:r>
      <w:bookmarkStart w:id="2" w:name="_Hlk175232250"/>
    </w:p>
    <w:p w14:paraId="5BE4FC3D" w14:textId="313B7288" w:rsidR="001F4DE2" w:rsidRPr="001F4DE2" w:rsidRDefault="001F4DE2" w:rsidP="00B95BB1">
      <w:pPr>
        <w:pStyle w:val="RSCH2"/>
      </w:pPr>
      <w:r w:rsidRPr="001F4DE2">
        <w:t>Other key terms support resources </w:t>
      </w:r>
    </w:p>
    <w:p w14:paraId="7AAD8F64" w14:textId="3F866B3F" w:rsidR="001F4DE2" w:rsidRPr="001F4DE2" w:rsidRDefault="001F4DE2" w:rsidP="001F4DE2">
      <w:pPr>
        <w:pStyle w:val="RSC2-columntabs"/>
      </w:pPr>
      <w:r w:rsidRPr="001F4DE2">
        <w:t>This resource is part of the key terms support for the </w:t>
      </w:r>
      <w:r w:rsidR="00B95BB1">
        <w:rPr>
          <w:b/>
          <w:bCs/>
        </w:rPr>
        <w:t>quantitative chemistry</w:t>
      </w:r>
      <w:r w:rsidRPr="001F4DE2">
        <w:rPr>
          <w:b/>
          <w:bCs/>
        </w:rPr>
        <w:t> </w:t>
      </w:r>
      <w:r w:rsidRPr="001F4DE2">
        <w:t>topic. Find the following accompanying resources at </w:t>
      </w:r>
      <w:hyperlink r:id="rId11" w:history="1">
        <w:r w:rsidR="0064525B" w:rsidRPr="0064525B">
          <w:rPr>
            <w:rStyle w:val="Hyperlink"/>
            <w:color w:val="C00000"/>
          </w:rPr>
          <w:t>rsc.li/3Gi9HHN</w:t>
        </w:r>
      </w:hyperlink>
      <w:r w:rsidRPr="001F4DE2">
        <w:t>: </w:t>
      </w:r>
    </w:p>
    <w:p w14:paraId="6F62EA5C" w14:textId="77777777" w:rsidR="001F4DE2" w:rsidRPr="001F4DE2" w:rsidRDefault="001F4DE2" w:rsidP="001F4DE2">
      <w:pPr>
        <w:pStyle w:val="RSC2-columntabs"/>
        <w:numPr>
          <w:ilvl w:val="0"/>
          <w:numId w:val="19"/>
        </w:numPr>
      </w:pPr>
      <w:r w:rsidRPr="001F4DE2">
        <w:t>Key terms list – carefully selected vocabulary, with definitions, that learners will come across when studying this topic at this stage </w:t>
      </w:r>
    </w:p>
    <w:p w14:paraId="40C5AF27" w14:textId="77777777" w:rsidR="001F4DE2" w:rsidRPr="001F4DE2" w:rsidRDefault="001F4DE2" w:rsidP="001F4DE2">
      <w:pPr>
        <w:pStyle w:val="RSC2-columntabs"/>
        <w:numPr>
          <w:ilvl w:val="0"/>
          <w:numId w:val="20"/>
        </w:numPr>
      </w:pPr>
      <w:r w:rsidRPr="001F4DE2">
        <w:t>Accessible glossary – expand on the key terms list with diagrams, examples, pronunciation guides and more  </w:t>
      </w:r>
    </w:p>
    <w:p w14:paraId="7ADD3C03" w14:textId="77777777" w:rsidR="001F4DE2" w:rsidRPr="001F4DE2" w:rsidRDefault="001F4DE2" w:rsidP="001F4DE2">
      <w:pPr>
        <w:pStyle w:val="RSC2-columntabs"/>
        <w:numPr>
          <w:ilvl w:val="0"/>
          <w:numId w:val="21"/>
        </w:numPr>
      </w:pPr>
      <w:r w:rsidRPr="001F4DE2">
        <w:t>Frayer models – a way for learners to organise their understanding of a new piece of vocabulary by working through four conceptual quadrants: explore, break down, explain, consolidate. </w:t>
      </w:r>
    </w:p>
    <w:p w14:paraId="5E808B7C" w14:textId="77777777" w:rsidR="001F4DE2" w:rsidRPr="00BC1BC2" w:rsidRDefault="001F4DE2" w:rsidP="00336CBF">
      <w:pPr>
        <w:pStyle w:val="RSC2-columntabs"/>
      </w:pPr>
    </w:p>
    <w:bookmarkEnd w:id="2"/>
    <w:p w14:paraId="7BA87023" w14:textId="77777777" w:rsidR="00336CBF" w:rsidRDefault="00336CBF" w:rsidP="00336CBF">
      <w:pPr>
        <w:pStyle w:val="RSCBasictext"/>
        <w:rPr>
          <w:lang w:eastAsia="en-GB"/>
        </w:rPr>
      </w:pPr>
    </w:p>
    <w:p w14:paraId="64554D5A" w14:textId="77777777" w:rsidR="00336CBF" w:rsidRDefault="00336CBF" w:rsidP="00336CBF">
      <w:pPr>
        <w:pStyle w:val="RSC2-columntabs"/>
        <w:rPr>
          <w:lang w:eastAsia="en-GB"/>
        </w:rPr>
      </w:pPr>
    </w:p>
    <w:sectPr w:rsidR="00336CBF" w:rsidSect="00231C1C">
      <w:headerReference w:type="default" r:id="rId12"/>
      <w:footerReference w:type="default" r:id="rId13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9351C" w14:textId="77777777" w:rsidR="00FD5C65" w:rsidRDefault="00FD5C65" w:rsidP="008A1B0B">
      <w:pPr>
        <w:spacing w:after="0" w:line="240" w:lineRule="auto"/>
      </w:pPr>
      <w:r>
        <w:separator/>
      </w:r>
    </w:p>
  </w:endnote>
  <w:endnote w:type="continuationSeparator" w:id="0">
    <w:p w14:paraId="19EA865B" w14:textId="77777777" w:rsidR="00FD5C65" w:rsidRDefault="00FD5C65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23C1E6F6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B95BB1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BB223" w14:textId="77777777" w:rsidR="00FD5C65" w:rsidRDefault="00FD5C65" w:rsidP="008A1B0B">
      <w:pPr>
        <w:spacing w:after="0" w:line="240" w:lineRule="auto"/>
      </w:pPr>
      <w:r>
        <w:separator/>
      </w:r>
    </w:p>
  </w:footnote>
  <w:footnote w:type="continuationSeparator" w:id="0">
    <w:p w14:paraId="443C7F8B" w14:textId="77777777" w:rsidR="00FD5C65" w:rsidRDefault="00FD5C65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653F6F85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0B20ED95" wp14:editId="24A57685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7AC097D7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6CBF">
      <w:rPr>
        <w:rFonts w:ascii="Century Gothic" w:hAnsi="Century Gothic"/>
        <w:b/>
        <w:bCs/>
        <w:color w:val="C8102E"/>
        <w:sz w:val="30"/>
        <w:szCs w:val="30"/>
      </w:rPr>
      <w:t>Unscrambling definitions</w:t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053964E" w14:textId="6812BBE8" w:rsidR="00EF3FDA" w:rsidRPr="007D7EC6" w:rsidRDefault="00FF382F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 w:rsidRPr="007D7EC6"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F2EF3" w:rsidRPr="007D7EC6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EF3FDA" w:rsidRPr="007D7EC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7D7EC6" w:rsidRPr="007D7EC6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rsc.li/3Gi9HHN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6462"/>
    <w:multiLevelType w:val="multilevel"/>
    <w:tmpl w:val="9924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B232D"/>
    <w:multiLevelType w:val="multilevel"/>
    <w:tmpl w:val="7EC2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FF7C5F"/>
    <w:multiLevelType w:val="multilevel"/>
    <w:tmpl w:val="353C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2395469">
    <w:abstractNumId w:val="17"/>
  </w:num>
  <w:num w:numId="2" w16cid:durableId="1028483081">
    <w:abstractNumId w:val="9"/>
  </w:num>
  <w:num w:numId="3" w16cid:durableId="498425709">
    <w:abstractNumId w:val="6"/>
  </w:num>
  <w:num w:numId="4" w16cid:durableId="1858107951">
    <w:abstractNumId w:val="7"/>
  </w:num>
  <w:num w:numId="5" w16cid:durableId="461963885">
    <w:abstractNumId w:val="14"/>
  </w:num>
  <w:num w:numId="6" w16cid:durableId="817766398">
    <w:abstractNumId w:val="16"/>
  </w:num>
  <w:num w:numId="7" w16cid:durableId="790979940">
    <w:abstractNumId w:val="1"/>
  </w:num>
  <w:num w:numId="8" w16cid:durableId="2054235528">
    <w:abstractNumId w:val="5"/>
  </w:num>
  <w:num w:numId="9" w16cid:durableId="1990549414">
    <w:abstractNumId w:val="4"/>
  </w:num>
  <w:num w:numId="10" w16cid:durableId="1460881753">
    <w:abstractNumId w:val="3"/>
  </w:num>
  <w:num w:numId="11" w16cid:durableId="1707487310">
    <w:abstractNumId w:val="10"/>
  </w:num>
  <w:num w:numId="12" w16cid:durableId="392628055">
    <w:abstractNumId w:val="3"/>
    <w:lvlOverride w:ilvl="0">
      <w:startOverride w:val="1"/>
    </w:lvlOverride>
  </w:num>
  <w:num w:numId="13" w16cid:durableId="1302266216">
    <w:abstractNumId w:val="13"/>
  </w:num>
  <w:num w:numId="14" w16cid:durableId="976372087">
    <w:abstractNumId w:val="12"/>
  </w:num>
  <w:num w:numId="15" w16cid:durableId="1802646080">
    <w:abstractNumId w:val="8"/>
  </w:num>
  <w:num w:numId="16" w16cid:durableId="608589520">
    <w:abstractNumId w:val="4"/>
    <w:lvlOverride w:ilvl="0">
      <w:startOverride w:val="1"/>
    </w:lvlOverride>
  </w:num>
  <w:num w:numId="17" w16cid:durableId="1743522365">
    <w:abstractNumId w:val="18"/>
  </w:num>
  <w:num w:numId="18" w16cid:durableId="2137213637">
    <w:abstractNumId w:val="11"/>
  </w:num>
  <w:num w:numId="19" w16cid:durableId="1705517352">
    <w:abstractNumId w:val="0"/>
  </w:num>
  <w:num w:numId="20" w16cid:durableId="262080164">
    <w:abstractNumId w:val="2"/>
  </w:num>
  <w:num w:numId="21" w16cid:durableId="21035288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7937"/>
    <w:rsid w:val="000265D4"/>
    <w:rsid w:val="00050157"/>
    <w:rsid w:val="00056090"/>
    <w:rsid w:val="000647E4"/>
    <w:rsid w:val="000866AC"/>
    <w:rsid w:val="00092315"/>
    <w:rsid w:val="00092796"/>
    <w:rsid w:val="000A31FD"/>
    <w:rsid w:val="000A768F"/>
    <w:rsid w:val="000B0FE6"/>
    <w:rsid w:val="000E5F58"/>
    <w:rsid w:val="00106210"/>
    <w:rsid w:val="00107ABB"/>
    <w:rsid w:val="001403B3"/>
    <w:rsid w:val="00145A36"/>
    <w:rsid w:val="00186EC6"/>
    <w:rsid w:val="001A2E7D"/>
    <w:rsid w:val="001B1B9F"/>
    <w:rsid w:val="001F4DE2"/>
    <w:rsid w:val="002223E4"/>
    <w:rsid w:val="00231C1C"/>
    <w:rsid w:val="0023536A"/>
    <w:rsid w:val="002662B6"/>
    <w:rsid w:val="0027026E"/>
    <w:rsid w:val="002A57CF"/>
    <w:rsid w:val="002A77FF"/>
    <w:rsid w:val="002C2223"/>
    <w:rsid w:val="002D34BA"/>
    <w:rsid w:val="002E47CA"/>
    <w:rsid w:val="003059AB"/>
    <w:rsid w:val="00324708"/>
    <w:rsid w:val="00336CBF"/>
    <w:rsid w:val="00362CC1"/>
    <w:rsid w:val="003716B9"/>
    <w:rsid w:val="003A6537"/>
    <w:rsid w:val="003E3E15"/>
    <w:rsid w:val="003E5776"/>
    <w:rsid w:val="003F2EF3"/>
    <w:rsid w:val="00417FF5"/>
    <w:rsid w:val="00424B2F"/>
    <w:rsid w:val="00435221"/>
    <w:rsid w:val="0046389A"/>
    <w:rsid w:val="00477C18"/>
    <w:rsid w:val="004A6C93"/>
    <w:rsid w:val="004D46C0"/>
    <w:rsid w:val="004F69AD"/>
    <w:rsid w:val="00516F80"/>
    <w:rsid w:val="00525B8C"/>
    <w:rsid w:val="0055275F"/>
    <w:rsid w:val="00560449"/>
    <w:rsid w:val="005820B0"/>
    <w:rsid w:val="005F0459"/>
    <w:rsid w:val="00603549"/>
    <w:rsid w:val="0064525B"/>
    <w:rsid w:val="00667F5C"/>
    <w:rsid w:val="006820BE"/>
    <w:rsid w:val="0068447B"/>
    <w:rsid w:val="006935E9"/>
    <w:rsid w:val="006B7B3A"/>
    <w:rsid w:val="006C7B0F"/>
    <w:rsid w:val="006D790E"/>
    <w:rsid w:val="007042E5"/>
    <w:rsid w:val="00741ECD"/>
    <w:rsid w:val="007424D7"/>
    <w:rsid w:val="0074350F"/>
    <w:rsid w:val="00746B44"/>
    <w:rsid w:val="00757152"/>
    <w:rsid w:val="00764810"/>
    <w:rsid w:val="007859BF"/>
    <w:rsid w:val="00793A37"/>
    <w:rsid w:val="007A5432"/>
    <w:rsid w:val="007A6DEE"/>
    <w:rsid w:val="007A78DC"/>
    <w:rsid w:val="007D7EC6"/>
    <w:rsid w:val="0080546C"/>
    <w:rsid w:val="00813905"/>
    <w:rsid w:val="00835B9C"/>
    <w:rsid w:val="00841A83"/>
    <w:rsid w:val="00845AA8"/>
    <w:rsid w:val="0086774A"/>
    <w:rsid w:val="00873951"/>
    <w:rsid w:val="0089187A"/>
    <w:rsid w:val="008A1B0B"/>
    <w:rsid w:val="008B40F1"/>
    <w:rsid w:val="008C0669"/>
    <w:rsid w:val="009567F9"/>
    <w:rsid w:val="009638C9"/>
    <w:rsid w:val="00965B31"/>
    <w:rsid w:val="00973447"/>
    <w:rsid w:val="009A3093"/>
    <w:rsid w:val="009C05E4"/>
    <w:rsid w:val="009F197A"/>
    <w:rsid w:val="00A11D47"/>
    <w:rsid w:val="00A177A3"/>
    <w:rsid w:val="00A30CA4"/>
    <w:rsid w:val="00A34D68"/>
    <w:rsid w:val="00A5348B"/>
    <w:rsid w:val="00A55D0E"/>
    <w:rsid w:val="00A571EB"/>
    <w:rsid w:val="00A5740C"/>
    <w:rsid w:val="00A66348"/>
    <w:rsid w:val="00A70459"/>
    <w:rsid w:val="00A725C3"/>
    <w:rsid w:val="00A84218"/>
    <w:rsid w:val="00AA1F7A"/>
    <w:rsid w:val="00AB639C"/>
    <w:rsid w:val="00AB74D1"/>
    <w:rsid w:val="00AF2EBE"/>
    <w:rsid w:val="00B07819"/>
    <w:rsid w:val="00B226A7"/>
    <w:rsid w:val="00B32608"/>
    <w:rsid w:val="00B55A22"/>
    <w:rsid w:val="00B67A03"/>
    <w:rsid w:val="00B71E66"/>
    <w:rsid w:val="00B721F1"/>
    <w:rsid w:val="00B7653C"/>
    <w:rsid w:val="00B95BB1"/>
    <w:rsid w:val="00B97575"/>
    <w:rsid w:val="00BA3EA7"/>
    <w:rsid w:val="00BA4D67"/>
    <w:rsid w:val="00BC4BE9"/>
    <w:rsid w:val="00BC5741"/>
    <w:rsid w:val="00BD1443"/>
    <w:rsid w:val="00BD5C6F"/>
    <w:rsid w:val="00C02BA3"/>
    <w:rsid w:val="00C1703F"/>
    <w:rsid w:val="00C322CA"/>
    <w:rsid w:val="00C34AB1"/>
    <w:rsid w:val="00C432CD"/>
    <w:rsid w:val="00C6122F"/>
    <w:rsid w:val="00C644EC"/>
    <w:rsid w:val="00C86EBF"/>
    <w:rsid w:val="00CD5E3C"/>
    <w:rsid w:val="00D444BA"/>
    <w:rsid w:val="00D56C1B"/>
    <w:rsid w:val="00D62A21"/>
    <w:rsid w:val="00D732BB"/>
    <w:rsid w:val="00D92EA9"/>
    <w:rsid w:val="00DE4519"/>
    <w:rsid w:val="00DF1C5C"/>
    <w:rsid w:val="00E06399"/>
    <w:rsid w:val="00E174ED"/>
    <w:rsid w:val="00E23EAC"/>
    <w:rsid w:val="00E349CE"/>
    <w:rsid w:val="00E36D24"/>
    <w:rsid w:val="00E408AC"/>
    <w:rsid w:val="00E41531"/>
    <w:rsid w:val="00E47CCE"/>
    <w:rsid w:val="00E90F74"/>
    <w:rsid w:val="00EC5AF5"/>
    <w:rsid w:val="00ED698B"/>
    <w:rsid w:val="00EF3FDA"/>
    <w:rsid w:val="00F134F8"/>
    <w:rsid w:val="00F30D37"/>
    <w:rsid w:val="00F42606"/>
    <w:rsid w:val="00F55FE1"/>
    <w:rsid w:val="00F679B9"/>
    <w:rsid w:val="00F709FB"/>
    <w:rsid w:val="00F71CF7"/>
    <w:rsid w:val="00F94905"/>
    <w:rsid w:val="00F95E88"/>
    <w:rsid w:val="00FC54F8"/>
    <w:rsid w:val="00FD124C"/>
    <w:rsid w:val="00FD5C65"/>
    <w:rsid w:val="00FD6697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90F74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E90F7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E90F74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E90F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F74"/>
    <w:rPr>
      <w:rFonts w:ascii="Arial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sc.li/3Gi9HHN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3Gda32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Gi9HHN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30AB61-6429-44A1-A125-34460B1D5C4F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7C1B86BC-5663-4B42-8FD4-AEFC9520B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5A6FAC-45FF-4F40-98E8-5FF864AB77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2976</Characters>
  <Application>Microsoft Office Word</Application>
  <DocSecurity>0</DocSecurity>
  <Lines>65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Unscrambling definitions quantitative chemistry teacher notes</vt:lpstr>
    </vt:vector>
  </TitlesOfParts>
  <Manager/>
  <Company>Royal Society of Chemistry</Company>
  <LinksUpToDate>false</LinksUpToDate>
  <CharactersWithSpaces>3537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Unscrambling definitions quantitative chemistry teacher notes</dc:title>
  <dc:subject/>
  <dc:creator>Royal Society of Chemistry</dc:creator>
  <cp:keywords>vocabulary; chemistry; glossary, key terms, key words, language of science; communication; quantitative chemistry, balancing equations, moles, relative mass, reacting masses, gas volumes, concentration, solutions, titration</cp:keywords>
  <dc:description>From rsc.li/3Gi9HHN, slides and worksheet, plus Frayer models and glossary also available</dc:description>
  <cp:lastModifiedBy>Juliet Kennard</cp:lastModifiedBy>
  <cp:revision>4</cp:revision>
  <dcterms:created xsi:type="dcterms:W3CDTF">2026-02-26T08:10:00Z</dcterms:created>
  <dcterms:modified xsi:type="dcterms:W3CDTF">2026-02-26T08:12:00Z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