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685004F6" w:rsidR="0005693A" w:rsidRDefault="00C2143A" w:rsidP="0005693A">
      <w:pPr>
        <w:pStyle w:val="Heading1"/>
      </w:pPr>
      <w:r>
        <w:t>Assessing pollution levels</w:t>
      </w:r>
      <w:r w:rsidR="00F848DB">
        <w:t>: teacher notes</w:t>
      </w:r>
      <w:bookmarkStart w:id="0" w:name="_GoBack"/>
      <w:bookmarkEnd w:id="0"/>
    </w:p>
    <w:p w14:paraId="2C144F32" w14:textId="1A6704D1" w:rsidR="003D05E8" w:rsidRDefault="003D05E8" w:rsidP="003D05E8">
      <w:pPr>
        <w:pStyle w:val="Leadparagraph"/>
        <w:rPr>
          <w:rStyle w:val="LeadparagraphChar"/>
        </w:rPr>
      </w:pPr>
      <w:r w:rsidRPr="009875B2">
        <w:rPr>
          <w:rStyle w:val="LeadparagraphChar"/>
          <w:b/>
          <w:i/>
        </w:rPr>
        <w:t>Education in Chemistry</w:t>
      </w:r>
      <w:r>
        <w:rPr>
          <w:rStyle w:val="LeadparagraphChar"/>
          <w:b/>
        </w:rPr>
        <w:br/>
      </w:r>
      <w:r>
        <w:rPr>
          <w:rStyle w:val="LeadparagraphChar"/>
        </w:rPr>
        <w:t>January 2020</w:t>
      </w:r>
      <w:r>
        <w:rPr>
          <w:rStyle w:val="LeadparagraphChar"/>
        </w:rPr>
        <w:br/>
      </w:r>
      <w:hyperlink r:id="rId10" w:history="1">
        <w:r w:rsidR="00C2143A" w:rsidRPr="00C2143A">
          <w:rPr>
            <w:rStyle w:val="Hyperlink"/>
          </w:rPr>
          <w:t>rsc.li/2QENEhe</w:t>
        </w:r>
      </w:hyperlink>
    </w:p>
    <w:p w14:paraId="222F02C3" w14:textId="77777777" w:rsidR="003D05E8" w:rsidRDefault="003D05E8" w:rsidP="003D05E8">
      <w:pPr>
        <w:pStyle w:val="Leadparagraph"/>
      </w:pPr>
      <w:r>
        <w:t>In this worksheet students calculate the</w:t>
      </w:r>
      <w:r w:rsidRPr="000C3638">
        <w:t xml:space="preserve"> levels of </w:t>
      </w:r>
      <w:r>
        <w:t>NO</w:t>
      </w:r>
      <w:r w:rsidRPr="00214A35">
        <w:rPr>
          <w:vertAlign w:val="subscript"/>
        </w:rPr>
        <w:t>2</w:t>
      </w:r>
      <w:r>
        <w:t xml:space="preserve"> in the air by considering factors such as road types, proximity to roads and yearly trends</w:t>
      </w:r>
    </w:p>
    <w:p w14:paraId="0089C544" w14:textId="77777777" w:rsidR="003D05E8" w:rsidRDefault="003D05E8" w:rsidP="003D05E8">
      <w:pPr>
        <w:pStyle w:val="Heading2"/>
      </w:pPr>
      <w:r>
        <w:t>Teacher notes</w:t>
      </w:r>
    </w:p>
    <w:p w14:paraId="40616DB0" w14:textId="77777777" w:rsidR="003D05E8" w:rsidRDefault="003D05E8" w:rsidP="003D05E8">
      <w:r>
        <w:t>The article makes useful background reading on the topic of air pollution. Students could read this for homework before the lesson or it could be shared at the start of the lesson.</w:t>
      </w:r>
    </w:p>
    <w:p w14:paraId="74B9C450" w14:textId="77777777" w:rsidR="003D05E8" w:rsidRDefault="003D05E8" w:rsidP="003D05E8">
      <w:r>
        <w:t xml:space="preserve">This exercise uses a </w:t>
      </w:r>
      <w:hyperlink r:id="rId11" w:history="1">
        <w:r w:rsidRPr="002B7481">
          <w:rPr>
            <w:rStyle w:val="Hyperlink"/>
          </w:rPr>
          <w:t>data set</w:t>
        </w:r>
      </w:hyperlink>
      <w:r>
        <w:t xml:space="preserve"> from 2010 collected by schools in Dudley, West Midlands. </w:t>
      </w:r>
    </w:p>
    <w:p w14:paraId="15AD3264" w14:textId="77777777" w:rsidR="003D05E8" w:rsidRDefault="003D05E8" w:rsidP="003D05E8">
      <w:r>
        <w:t>For high achievers, the use of a goal-free problem may be useful. Give the data set to the students and ask them what conclusions they can draw from it.</w:t>
      </w:r>
    </w:p>
    <w:p w14:paraId="3072ED96" w14:textId="77777777" w:rsidR="003D05E8" w:rsidRDefault="003D05E8" w:rsidP="003D05E8">
      <w:pPr>
        <w:pStyle w:val="Numberedlist"/>
        <w:numPr>
          <w:ilvl w:val="0"/>
          <w:numId w:val="0"/>
        </w:numPr>
        <w:rPr>
          <w:rFonts w:eastAsiaTheme="majorEastAsia" w:cstheme="majorBidi"/>
          <w:bCs/>
          <w:color w:val="2C4D67"/>
          <w:sz w:val="30"/>
          <w:szCs w:val="30"/>
        </w:rPr>
      </w:pPr>
      <w:r>
        <w:rPr>
          <w:rFonts w:eastAsiaTheme="majorEastAsia" w:cstheme="majorBidi"/>
          <w:bCs/>
          <w:color w:val="2C4D67"/>
          <w:sz w:val="30"/>
          <w:szCs w:val="30"/>
        </w:rPr>
        <w:br w:type="page"/>
      </w:r>
    </w:p>
    <w:p w14:paraId="4411635E" w14:textId="77777777" w:rsidR="003D05E8" w:rsidRDefault="003D05E8" w:rsidP="003D05E8">
      <w:pPr>
        <w:pStyle w:val="Numberedlist"/>
        <w:numPr>
          <w:ilvl w:val="0"/>
          <w:numId w:val="0"/>
        </w:numPr>
      </w:pPr>
      <w:r>
        <w:rPr>
          <w:rFonts w:eastAsiaTheme="majorEastAsia" w:cstheme="majorBidi"/>
          <w:bCs/>
          <w:color w:val="2C4D67"/>
          <w:sz w:val="30"/>
          <w:szCs w:val="30"/>
        </w:rPr>
        <w:lastRenderedPageBreak/>
        <w:t>Answers</w:t>
      </w:r>
    </w:p>
    <w:p w14:paraId="6A1DD8C0" w14:textId="77777777" w:rsidR="003D05E8" w:rsidRDefault="003D05E8" w:rsidP="003D05E8">
      <w:pPr>
        <w:pStyle w:val="Numberedlist"/>
        <w:numPr>
          <w:ilvl w:val="0"/>
          <w:numId w:val="8"/>
        </w:numPr>
      </w:pPr>
      <w:r>
        <w:t>Calculating means and ranges</w:t>
      </w:r>
    </w:p>
    <w:p w14:paraId="16112228" w14:textId="77777777" w:rsidR="003D05E8" w:rsidRDefault="003D05E8" w:rsidP="003D05E8">
      <w:pPr>
        <w:pStyle w:val="Numberedlist"/>
        <w:numPr>
          <w:ilvl w:val="1"/>
          <w:numId w:val="8"/>
        </w:numPr>
      </w:pPr>
      <w:r>
        <w:t xml:space="preserve">Calculate the mean level of </w:t>
      </w:r>
      <w:r w:rsidRPr="000C3638">
        <w:t xml:space="preserve">nitrogen dioxide </w:t>
      </w:r>
      <w:r>
        <w:t>(NO</w:t>
      </w:r>
      <w:r w:rsidRPr="00214A35">
        <w:rPr>
          <w:vertAlign w:val="subscript"/>
        </w:rPr>
        <w:t>2</w:t>
      </w:r>
      <w:r>
        <w:t>)</w:t>
      </w:r>
      <w:r w:rsidRPr="000C3638">
        <w:t xml:space="preserve"> </w:t>
      </w:r>
      <w:r>
        <w:t>for the months of January, February and March.</w:t>
      </w:r>
    </w:p>
    <w:p w14:paraId="2A581B4B" w14:textId="77777777" w:rsidR="003D05E8" w:rsidRDefault="003D05E8" w:rsidP="003D05E8">
      <w:pPr>
        <w:pStyle w:val="Numberedlist"/>
        <w:numPr>
          <w:ilvl w:val="1"/>
          <w:numId w:val="8"/>
        </w:numPr>
      </w:pPr>
      <w:r>
        <w:t>Calculate the ranges for the levels of NO</w:t>
      </w:r>
      <w:r w:rsidRPr="00214A35">
        <w:rPr>
          <w:vertAlign w:val="subscript"/>
        </w:rPr>
        <w:t>2</w:t>
      </w:r>
      <w:r>
        <w:rPr>
          <w:vertAlign w:val="subscript"/>
        </w:rPr>
        <w:t xml:space="preserve"> </w:t>
      </w:r>
      <w:r>
        <w:t>for the months of January, February and March.</w:t>
      </w:r>
    </w:p>
    <w:tbl>
      <w:tblPr>
        <w:tblW w:w="5195" w:type="dxa"/>
        <w:jc w:val="center"/>
        <w:tblLook w:val="04A0" w:firstRow="1" w:lastRow="0" w:firstColumn="1" w:lastColumn="0" w:noHBand="0" w:noVBand="1"/>
      </w:tblPr>
      <w:tblGrid>
        <w:gridCol w:w="1340"/>
        <w:gridCol w:w="1285"/>
        <w:gridCol w:w="1285"/>
        <w:gridCol w:w="1285"/>
      </w:tblGrid>
      <w:tr w:rsidR="003D05E8" w:rsidRPr="003E49D1" w14:paraId="1689DBC6" w14:textId="77777777" w:rsidTr="004636F0">
        <w:trPr>
          <w:trHeight w:val="285"/>
          <w:jc w:val="center"/>
        </w:trPr>
        <w:tc>
          <w:tcPr>
            <w:tcW w:w="1340" w:type="dxa"/>
            <w:tcBorders>
              <w:top w:val="nil"/>
              <w:left w:val="nil"/>
              <w:bottom w:val="nil"/>
              <w:right w:val="nil"/>
            </w:tcBorders>
            <w:shd w:val="clear" w:color="auto" w:fill="auto"/>
            <w:noWrap/>
            <w:vAlign w:val="center"/>
            <w:hideMark/>
          </w:tcPr>
          <w:p w14:paraId="111BE005" w14:textId="77777777" w:rsidR="003D05E8" w:rsidRPr="003E49D1" w:rsidRDefault="003D05E8" w:rsidP="004636F0">
            <w:pPr>
              <w:keepLines w:val="0"/>
              <w:spacing w:after="0"/>
              <w:jc w:val="center"/>
              <w:rPr>
                <w:rFonts w:ascii="Calibri" w:eastAsia="Times New Roman" w:hAnsi="Calibri" w:cs="Calibri"/>
                <w:b/>
                <w:bCs/>
                <w:color w:val="0070C0"/>
                <w:lang w:eastAsia="en-GB"/>
              </w:rPr>
            </w:pPr>
          </w:p>
        </w:tc>
        <w:tc>
          <w:tcPr>
            <w:tcW w:w="1285" w:type="dxa"/>
            <w:tcBorders>
              <w:top w:val="nil"/>
              <w:left w:val="nil"/>
              <w:bottom w:val="nil"/>
              <w:right w:val="nil"/>
            </w:tcBorders>
            <w:shd w:val="clear" w:color="auto" w:fill="auto"/>
            <w:noWrap/>
            <w:vAlign w:val="center"/>
            <w:hideMark/>
          </w:tcPr>
          <w:p w14:paraId="756DD623" w14:textId="77777777" w:rsidR="003D05E8" w:rsidRPr="003E49D1" w:rsidRDefault="003D05E8" w:rsidP="004636F0">
            <w:pPr>
              <w:keepLines w:val="0"/>
              <w:spacing w:after="0"/>
              <w:jc w:val="center"/>
              <w:rPr>
                <w:rFonts w:ascii="Calibri" w:eastAsia="Times New Roman" w:hAnsi="Calibri" w:cs="Calibri"/>
                <w:b/>
                <w:bCs/>
                <w:color w:val="0070C0"/>
                <w:lang w:eastAsia="en-GB"/>
              </w:rPr>
            </w:pPr>
            <w:r w:rsidRPr="003E49D1">
              <w:rPr>
                <w:rFonts w:ascii="Calibri" w:eastAsia="Times New Roman" w:hAnsi="Calibri" w:cs="Calibri"/>
                <w:b/>
                <w:bCs/>
                <w:color w:val="0070C0"/>
                <w:lang w:eastAsia="en-GB"/>
              </w:rPr>
              <w:t>Jan</w:t>
            </w:r>
          </w:p>
        </w:tc>
        <w:tc>
          <w:tcPr>
            <w:tcW w:w="1285" w:type="dxa"/>
            <w:tcBorders>
              <w:top w:val="nil"/>
              <w:left w:val="nil"/>
              <w:bottom w:val="nil"/>
              <w:right w:val="nil"/>
            </w:tcBorders>
            <w:shd w:val="clear" w:color="auto" w:fill="auto"/>
            <w:noWrap/>
            <w:vAlign w:val="center"/>
            <w:hideMark/>
          </w:tcPr>
          <w:p w14:paraId="11BCF102" w14:textId="77777777" w:rsidR="003D05E8" w:rsidRPr="003E49D1" w:rsidRDefault="003D05E8" w:rsidP="004636F0">
            <w:pPr>
              <w:keepLines w:val="0"/>
              <w:spacing w:after="0"/>
              <w:jc w:val="center"/>
              <w:rPr>
                <w:rFonts w:ascii="Calibri" w:eastAsia="Times New Roman" w:hAnsi="Calibri" w:cs="Calibri"/>
                <w:b/>
                <w:bCs/>
                <w:color w:val="0070C0"/>
                <w:lang w:eastAsia="en-GB"/>
              </w:rPr>
            </w:pPr>
            <w:r w:rsidRPr="003E49D1">
              <w:rPr>
                <w:rFonts w:ascii="Calibri" w:eastAsia="Times New Roman" w:hAnsi="Calibri" w:cs="Calibri"/>
                <w:b/>
                <w:bCs/>
                <w:color w:val="0070C0"/>
                <w:lang w:eastAsia="en-GB"/>
              </w:rPr>
              <w:t>Feb</w:t>
            </w:r>
          </w:p>
        </w:tc>
        <w:tc>
          <w:tcPr>
            <w:tcW w:w="1285" w:type="dxa"/>
            <w:tcBorders>
              <w:top w:val="nil"/>
              <w:left w:val="nil"/>
              <w:bottom w:val="nil"/>
              <w:right w:val="nil"/>
            </w:tcBorders>
            <w:shd w:val="clear" w:color="auto" w:fill="auto"/>
            <w:noWrap/>
            <w:vAlign w:val="center"/>
            <w:hideMark/>
          </w:tcPr>
          <w:p w14:paraId="1876899C" w14:textId="77777777" w:rsidR="003D05E8" w:rsidRPr="003E49D1" w:rsidRDefault="003D05E8" w:rsidP="004636F0">
            <w:pPr>
              <w:keepLines w:val="0"/>
              <w:spacing w:after="0"/>
              <w:jc w:val="center"/>
              <w:rPr>
                <w:rFonts w:ascii="Calibri" w:eastAsia="Times New Roman" w:hAnsi="Calibri" w:cs="Calibri"/>
                <w:b/>
                <w:bCs/>
                <w:color w:val="0070C0"/>
                <w:lang w:eastAsia="en-GB"/>
              </w:rPr>
            </w:pPr>
            <w:r w:rsidRPr="003E49D1">
              <w:rPr>
                <w:rFonts w:ascii="Calibri" w:eastAsia="Times New Roman" w:hAnsi="Calibri" w:cs="Calibri"/>
                <w:b/>
                <w:bCs/>
                <w:color w:val="0070C0"/>
                <w:lang w:eastAsia="en-GB"/>
              </w:rPr>
              <w:t>Mar</w:t>
            </w:r>
          </w:p>
        </w:tc>
      </w:tr>
      <w:tr w:rsidR="003D05E8" w:rsidRPr="003E49D1" w14:paraId="1A410AEA" w14:textId="77777777" w:rsidTr="004636F0">
        <w:trPr>
          <w:trHeight w:val="285"/>
          <w:jc w:val="center"/>
        </w:trPr>
        <w:tc>
          <w:tcPr>
            <w:tcW w:w="1340" w:type="dxa"/>
            <w:tcBorders>
              <w:top w:val="nil"/>
              <w:left w:val="nil"/>
              <w:bottom w:val="nil"/>
              <w:right w:val="nil"/>
            </w:tcBorders>
            <w:shd w:val="clear" w:color="auto" w:fill="auto"/>
            <w:noWrap/>
            <w:vAlign w:val="center"/>
            <w:hideMark/>
          </w:tcPr>
          <w:p w14:paraId="41C0F3F3" w14:textId="77777777" w:rsidR="003D05E8" w:rsidRPr="003E49D1" w:rsidRDefault="003D05E8" w:rsidP="004636F0">
            <w:pPr>
              <w:keepLines w:val="0"/>
              <w:spacing w:after="0"/>
              <w:jc w:val="center"/>
              <w:rPr>
                <w:rFonts w:ascii="Calibri" w:eastAsia="Times New Roman" w:hAnsi="Calibri" w:cs="Calibri"/>
                <w:color w:val="0070C0"/>
                <w:lang w:eastAsia="en-GB"/>
              </w:rPr>
            </w:pPr>
            <w:r w:rsidRPr="003E49D1">
              <w:rPr>
                <w:rFonts w:ascii="Calibri" w:eastAsia="Times New Roman" w:hAnsi="Calibri" w:cs="Calibri"/>
                <w:color w:val="0070C0"/>
                <w:lang w:eastAsia="en-GB"/>
              </w:rPr>
              <w:t>Mean</w:t>
            </w:r>
          </w:p>
        </w:tc>
        <w:tc>
          <w:tcPr>
            <w:tcW w:w="1285" w:type="dxa"/>
            <w:tcBorders>
              <w:top w:val="nil"/>
              <w:left w:val="nil"/>
              <w:bottom w:val="nil"/>
              <w:right w:val="nil"/>
            </w:tcBorders>
            <w:shd w:val="clear" w:color="auto" w:fill="auto"/>
            <w:noWrap/>
            <w:vAlign w:val="bottom"/>
            <w:hideMark/>
          </w:tcPr>
          <w:p w14:paraId="225B93E3" w14:textId="77777777" w:rsidR="003D05E8" w:rsidRPr="003E49D1" w:rsidRDefault="003D05E8" w:rsidP="004636F0">
            <w:pPr>
              <w:keepLines w:val="0"/>
              <w:spacing w:after="0"/>
              <w:jc w:val="center"/>
              <w:rPr>
                <w:rFonts w:ascii="Calibri" w:eastAsia="Times New Roman" w:hAnsi="Calibri" w:cs="Calibri"/>
                <w:color w:val="0070C0"/>
                <w:sz w:val="22"/>
                <w:szCs w:val="22"/>
                <w:lang w:eastAsia="en-GB"/>
              </w:rPr>
            </w:pPr>
            <w:r w:rsidRPr="003E49D1">
              <w:rPr>
                <w:rFonts w:ascii="Calibri" w:eastAsia="Times New Roman" w:hAnsi="Calibri" w:cs="Calibri"/>
                <w:color w:val="0070C0"/>
                <w:sz w:val="22"/>
                <w:szCs w:val="22"/>
                <w:lang w:eastAsia="en-GB"/>
              </w:rPr>
              <w:t>47.0</w:t>
            </w:r>
          </w:p>
        </w:tc>
        <w:tc>
          <w:tcPr>
            <w:tcW w:w="1285" w:type="dxa"/>
            <w:tcBorders>
              <w:top w:val="nil"/>
              <w:left w:val="nil"/>
              <w:bottom w:val="nil"/>
              <w:right w:val="nil"/>
            </w:tcBorders>
            <w:shd w:val="clear" w:color="auto" w:fill="auto"/>
            <w:noWrap/>
            <w:vAlign w:val="bottom"/>
            <w:hideMark/>
          </w:tcPr>
          <w:p w14:paraId="2E452071" w14:textId="77777777" w:rsidR="003D05E8" w:rsidRPr="003E49D1" w:rsidRDefault="003D05E8" w:rsidP="004636F0">
            <w:pPr>
              <w:keepLines w:val="0"/>
              <w:spacing w:after="0"/>
              <w:jc w:val="center"/>
              <w:rPr>
                <w:rFonts w:ascii="Calibri" w:eastAsia="Times New Roman" w:hAnsi="Calibri" w:cs="Calibri"/>
                <w:color w:val="0070C0"/>
                <w:sz w:val="22"/>
                <w:szCs w:val="22"/>
                <w:lang w:eastAsia="en-GB"/>
              </w:rPr>
            </w:pPr>
            <w:r w:rsidRPr="003E49D1">
              <w:rPr>
                <w:rFonts w:ascii="Calibri" w:eastAsia="Times New Roman" w:hAnsi="Calibri" w:cs="Calibri"/>
                <w:color w:val="0070C0"/>
                <w:sz w:val="22"/>
                <w:szCs w:val="22"/>
                <w:lang w:eastAsia="en-GB"/>
              </w:rPr>
              <w:t>42.5</w:t>
            </w:r>
          </w:p>
        </w:tc>
        <w:tc>
          <w:tcPr>
            <w:tcW w:w="1285" w:type="dxa"/>
            <w:tcBorders>
              <w:top w:val="nil"/>
              <w:left w:val="nil"/>
              <w:bottom w:val="nil"/>
              <w:right w:val="nil"/>
            </w:tcBorders>
            <w:shd w:val="clear" w:color="auto" w:fill="auto"/>
            <w:noWrap/>
            <w:vAlign w:val="bottom"/>
            <w:hideMark/>
          </w:tcPr>
          <w:p w14:paraId="2CFA52A3" w14:textId="77777777" w:rsidR="003D05E8" w:rsidRPr="003E49D1" w:rsidRDefault="003D05E8" w:rsidP="004636F0">
            <w:pPr>
              <w:keepLines w:val="0"/>
              <w:spacing w:after="0"/>
              <w:jc w:val="center"/>
              <w:rPr>
                <w:rFonts w:ascii="Calibri" w:eastAsia="Times New Roman" w:hAnsi="Calibri" w:cs="Calibri"/>
                <w:color w:val="0070C0"/>
                <w:sz w:val="22"/>
                <w:szCs w:val="22"/>
                <w:lang w:eastAsia="en-GB"/>
              </w:rPr>
            </w:pPr>
            <w:r w:rsidRPr="003E49D1">
              <w:rPr>
                <w:rFonts w:ascii="Calibri" w:eastAsia="Times New Roman" w:hAnsi="Calibri" w:cs="Calibri"/>
                <w:color w:val="0070C0"/>
                <w:sz w:val="22"/>
                <w:szCs w:val="22"/>
                <w:lang w:eastAsia="en-GB"/>
              </w:rPr>
              <w:t>35.1</w:t>
            </w:r>
          </w:p>
        </w:tc>
      </w:tr>
      <w:tr w:rsidR="003D05E8" w:rsidRPr="003E49D1" w14:paraId="68E198A3" w14:textId="77777777" w:rsidTr="004636F0">
        <w:trPr>
          <w:trHeight w:val="285"/>
          <w:jc w:val="center"/>
        </w:trPr>
        <w:tc>
          <w:tcPr>
            <w:tcW w:w="1340" w:type="dxa"/>
            <w:tcBorders>
              <w:top w:val="nil"/>
              <w:left w:val="nil"/>
              <w:bottom w:val="nil"/>
              <w:right w:val="nil"/>
            </w:tcBorders>
            <w:shd w:val="clear" w:color="auto" w:fill="auto"/>
            <w:noWrap/>
            <w:vAlign w:val="center"/>
            <w:hideMark/>
          </w:tcPr>
          <w:p w14:paraId="4C4C625D" w14:textId="77777777" w:rsidR="003D05E8" w:rsidRPr="003E49D1" w:rsidRDefault="003D05E8" w:rsidP="004636F0">
            <w:pPr>
              <w:keepLines w:val="0"/>
              <w:spacing w:after="0"/>
              <w:jc w:val="center"/>
              <w:rPr>
                <w:rFonts w:ascii="Calibri" w:eastAsia="Times New Roman" w:hAnsi="Calibri" w:cs="Calibri"/>
                <w:color w:val="0070C0"/>
                <w:lang w:eastAsia="en-GB"/>
              </w:rPr>
            </w:pPr>
            <w:r w:rsidRPr="003E49D1">
              <w:rPr>
                <w:rFonts w:ascii="Calibri" w:eastAsia="Times New Roman" w:hAnsi="Calibri" w:cs="Calibri"/>
                <w:color w:val="0070C0"/>
                <w:lang w:eastAsia="en-GB"/>
              </w:rPr>
              <w:t>Range</w:t>
            </w:r>
          </w:p>
        </w:tc>
        <w:tc>
          <w:tcPr>
            <w:tcW w:w="1285" w:type="dxa"/>
            <w:tcBorders>
              <w:top w:val="nil"/>
              <w:left w:val="nil"/>
              <w:bottom w:val="nil"/>
              <w:right w:val="nil"/>
            </w:tcBorders>
            <w:shd w:val="clear" w:color="auto" w:fill="auto"/>
            <w:noWrap/>
            <w:vAlign w:val="bottom"/>
            <w:hideMark/>
          </w:tcPr>
          <w:p w14:paraId="29665BD5" w14:textId="77777777" w:rsidR="003D05E8" w:rsidRPr="003E49D1" w:rsidRDefault="003D05E8" w:rsidP="004636F0">
            <w:pPr>
              <w:keepLines w:val="0"/>
              <w:spacing w:after="0"/>
              <w:jc w:val="center"/>
              <w:rPr>
                <w:rFonts w:ascii="Calibri" w:eastAsia="Times New Roman" w:hAnsi="Calibri" w:cs="Calibri"/>
                <w:color w:val="0070C0"/>
                <w:sz w:val="22"/>
                <w:szCs w:val="22"/>
                <w:lang w:eastAsia="en-GB"/>
              </w:rPr>
            </w:pPr>
            <w:r>
              <w:rPr>
                <w:rFonts w:ascii="Calibri" w:eastAsia="Times New Roman" w:hAnsi="Calibri" w:cs="Calibri"/>
                <w:color w:val="0070C0"/>
                <w:sz w:val="22"/>
                <w:szCs w:val="22"/>
                <w:lang w:eastAsia="en-GB"/>
              </w:rPr>
              <w:t>26.72</w:t>
            </w:r>
            <w:r w:rsidRPr="004D251F">
              <w:rPr>
                <w:rFonts w:ascii="Calibri" w:eastAsia="Times New Roman" w:hAnsi="Calibri" w:cs="Calibri"/>
                <w:color w:val="0070C0"/>
                <w:sz w:val="22"/>
                <w:szCs w:val="22"/>
                <w:lang w:eastAsia="en-GB"/>
              </w:rPr>
              <w:t>–</w:t>
            </w:r>
            <w:r w:rsidRPr="003E49D1">
              <w:rPr>
                <w:rFonts w:ascii="Calibri" w:eastAsia="Times New Roman" w:hAnsi="Calibri" w:cs="Calibri"/>
                <w:color w:val="0070C0"/>
                <w:sz w:val="22"/>
                <w:szCs w:val="22"/>
                <w:lang w:eastAsia="en-GB"/>
              </w:rPr>
              <w:t>69.2</w:t>
            </w:r>
          </w:p>
        </w:tc>
        <w:tc>
          <w:tcPr>
            <w:tcW w:w="1285" w:type="dxa"/>
            <w:tcBorders>
              <w:top w:val="nil"/>
              <w:left w:val="nil"/>
              <w:bottom w:val="nil"/>
              <w:right w:val="nil"/>
            </w:tcBorders>
            <w:shd w:val="clear" w:color="auto" w:fill="auto"/>
            <w:noWrap/>
            <w:vAlign w:val="bottom"/>
            <w:hideMark/>
          </w:tcPr>
          <w:p w14:paraId="56DDD03F" w14:textId="77777777" w:rsidR="003D05E8" w:rsidRPr="003E49D1" w:rsidRDefault="003D05E8" w:rsidP="004636F0">
            <w:pPr>
              <w:keepLines w:val="0"/>
              <w:spacing w:after="0"/>
              <w:jc w:val="center"/>
              <w:rPr>
                <w:rFonts w:ascii="Calibri" w:eastAsia="Times New Roman" w:hAnsi="Calibri" w:cs="Calibri"/>
                <w:color w:val="0070C0"/>
                <w:sz w:val="22"/>
                <w:szCs w:val="22"/>
                <w:lang w:eastAsia="en-GB"/>
              </w:rPr>
            </w:pPr>
            <w:r>
              <w:rPr>
                <w:rFonts w:ascii="Calibri" w:eastAsia="Times New Roman" w:hAnsi="Calibri" w:cs="Calibri"/>
                <w:color w:val="0070C0"/>
                <w:sz w:val="22"/>
                <w:szCs w:val="22"/>
                <w:lang w:eastAsia="en-GB"/>
              </w:rPr>
              <w:t>24.82</w:t>
            </w:r>
            <w:r w:rsidRPr="004D251F">
              <w:rPr>
                <w:rFonts w:ascii="Calibri" w:eastAsia="Times New Roman" w:hAnsi="Calibri" w:cs="Calibri"/>
                <w:color w:val="0070C0"/>
                <w:sz w:val="22"/>
                <w:szCs w:val="22"/>
                <w:lang w:eastAsia="en-GB"/>
              </w:rPr>
              <w:t>–</w:t>
            </w:r>
            <w:r w:rsidRPr="003E49D1">
              <w:rPr>
                <w:rFonts w:ascii="Calibri" w:eastAsia="Times New Roman" w:hAnsi="Calibri" w:cs="Calibri"/>
                <w:color w:val="0070C0"/>
                <w:sz w:val="22"/>
                <w:szCs w:val="22"/>
                <w:lang w:eastAsia="en-GB"/>
              </w:rPr>
              <w:t>64.3</w:t>
            </w:r>
          </w:p>
        </w:tc>
        <w:tc>
          <w:tcPr>
            <w:tcW w:w="1285" w:type="dxa"/>
            <w:tcBorders>
              <w:top w:val="nil"/>
              <w:left w:val="nil"/>
              <w:bottom w:val="nil"/>
              <w:right w:val="nil"/>
            </w:tcBorders>
            <w:shd w:val="clear" w:color="auto" w:fill="auto"/>
            <w:noWrap/>
            <w:vAlign w:val="bottom"/>
            <w:hideMark/>
          </w:tcPr>
          <w:p w14:paraId="168AE0DF" w14:textId="77777777" w:rsidR="003D05E8" w:rsidRPr="003E49D1" w:rsidRDefault="003D05E8" w:rsidP="004636F0">
            <w:pPr>
              <w:keepLines w:val="0"/>
              <w:spacing w:after="0"/>
              <w:jc w:val="center"/>
              <w:rPr>
                <w:rFonts w:ascii="Calibri" w:eastAsia="Times New Roman" w:hAnsi="Calibri" w:cs="Calibri"/>
                <w:color w:val="0070C0"/>
                <w:sz w:val="22"/>
                <w:szCs w:val="22"/>
                <w:lang w:eastAsia="en-GB"/>
              </w:rPr>
            </w:pPr>
            <w:r>
              <w:rPr>
                <w:rFonts w:ascii="Calibri" w:eastAsia="Times New Roman" w:hAnsi="Calibri" w:cs="Calibri"/>
                <w:color w:val="0070C0"/>
                <w:sz w:val="22"/>
                <w:szCs w:val="22"/>
                <w:lang w:eastAsia="en-GB"/>
              </w:rPr>
              <w:t>11.37</w:t>
            </w:r>
            <w:r w:rsidRPr="004D251F">
              <w:rPr>
                <w:rFonts w:ascii="Calibri" w:eastAsia="Times New Roman" w:hAnsi="Calibri" w:cs="Calibri"/>
                <w:color w:val="0070C0"/>
                <w:sz w:val="22"/>
                <w:szCs w:val="22"/>
                <w:lang w:eastAsia="en-GB"/>
              </w:rPr>
              <w:t>–</w:t>
            </w:r>
            <w:r w:rsidRPr="003E49D1">
              <w:rPr>
                <w:rFonts w:ascii="Calibri" w:eastAsia="Times New Roman" w:hAnsi="Calibri" w:cs="Calibri"/>
                <w:color w:val="0070C0"/>
                <w:sz w:val="22"/>
                <w:szCs w:val="22"/>
                <w:lang w:eastAsia="en-GB"/>
              </w:rPr>
              <w:t>61.9</w:t>
            </w:r>
          </w:p>
        </w:tc>
      </w:tr>
    </w:tbl>
    <w:p w14:paraId="31A985F3" w14:textId="77777777" w:rsidR="003D05E8" w:rsidRDefault="003D05E8" w:rsidP="003D05E8">
      <w:pPr>
        <w:pStyle w:val="Numberedlist"/>
        <w:numPr>
          <w:ilvl w:val="0"/>
          <w:numId w:val="0"/>
        </w:numPr>
        <w:ind w:left="340" w:hanging="340"/>
      </w:pPr>
    </w:p>
    <w:p w14:paraId="4F8481DC" w14:textId="77777777" w:rsidR="003D05E8" w:rsidRDefault="003D05E8" w:rsidP="003D05E8">
      <w:pPr>
        <w:pStyle w:val="ListParagraph"/>
        <w:numPr>
          <w:ilvl w:val="0"/>
          <w:numId w:val="8"/>
        </w:numPr>
      </w:pPr>
      <w:r w:rsidRPr="000C3638">
        <w:t xml:space="preserve">The European Union has asked the UK to measure levels of </w:t>
      </w:r>
      <w:r>
        <w:t>NO</w:t>
      </w:r>
      <w:r w:rsidRPr="00214A35">
        <w:rPr>
          <w:vertAlign w:val="subscript"/>
        </w:rPr>
        <w:t>2</w:t>
      </w:r>
      <w:r>
        <w:t xml:space="preserve"> in the air.</w:t>
      </w:r>
      <w:r w:rsidRPr="000C3638">
        <w:t xml:space="preserve"> Where levels are greater than 40 µg/m</w:t>
      </w:r>
      <w:r w:rsidRPr="00EA114C">
        <w:rPr>
          <w:vertAlign w:val="superscript"/>
        </w:rPr>
        <w:t>3</w:t>
      </w:r>
      <w:r>
        <w:t xml:space="preserve"> </w:t>
      </w:r>
      <w:r w:rsidRPr="000C3638">
        <w:t>action is required to reduce pollution.</w:t>
      </w:r>
    </w:p>
    <w:p w14:paraId="2976B2CF" w14:textId="77777777" w:rsidR="003D05E8" w:rsidRDefault="003D05E8" w:rsidP="003D05E8">
      <w:pPr>
        <w:pStyle w:val="ListParagraph"/>
        <w:numPr>
          <w:ilvl w:val="1"/>
          <w:numId w:val="8"/>
        </w:numPr>
      </w:pPr>
      <w:r>
        <w:t xml:space="preserve">On your data set, highlight measurements above 40 </w:t>
      </w:r>
      <w:r w:rsidRPr="000C3638">
        <w:t>µg/m</w:t>
      </w:r>
      <w:r w:rsidRPr="00EA114C">
        <w:rPr>
          <w:vertAlign w:val="superscript"/>
        </w:rPr>
        <w:t>3</w:t>
      </w:r>
      <w:r>
        <w:t>.</w:t>
      </w:r>
    </w:p>
    <w:tbl>
      <w:tblPr>
        <w:tblW w:w="10067" w:type="dxa"/>
        <w:tblCellMar>
          <w:left w:w="85" w:type="dxa"/>
          <w:right w:w="85" w:type="dxa"/>
        </w:tblCellMar>
        <w:tblLook w:val="04A0" w:firstRow="1" w:lastRow="0" w:firstColumn="1" w:lastColumn="0" w:noHBand="0" w:noVBand="1"/>
      </w:tblPr>
      <w:tblGrid>
        <w:gridCol w:w="2015"/>
        <w:gridCol w:w="671"/>
        <w:gridCol w:w="671"/>
        <w:gridCol w:w="671"/>
        <w:gridCol w:w="671"/>
        <w:gridCol w:w="671"/>
        <w:gridCol w:w="671"/>
        <w:gridCol w:w="671"/>
        <w:gridCol w:w="671"/>
        <w:gridCol w:w="671"/>
        <w:gridCol w:w="671"/>
        <w:gridCol w:w="671"/>
        <w:gridCol w:w="671"/>
      </w:tblGrid>
      <w:tr w:rsidR="003D05E8" w:rsidRPr="00EF6C6D" w14:paraId="2B6C14AE" w14:textId="77777777" w:rsidTr="004636F0">
        <w:trPr>
          <w:trHeight w:val="402"/>
        </w:trPr>
        <w:tc>
          <w:tcPr>
            <w:tcW w:w="2015" w:type="dxa"/>
            <w:tcBorders>
              <w:top w:val="nil"/>
              <w:left w:val="nil"/>
              <w:bottom w:val="nil"/>
              <w:right w:val="nil"/>
            </w:tcBorders>
            <w:shd w:val="clear" w:color="auto" w:fill="auto"/>
            <w:noWrap/>
            <w:vAlign w:val="center"/>
            <w:hideMark/>
          </w:tcPr>
          <w:p w14:paraId="49B67987" w14:textId="77777777" w:rsidR="003D05E8" w:rsidRPr="00EF6C6D" w:rsidRDefault="003D05E8" w:rsidP="004636F0">
            <w:pPr>
              <w:keepLines w:val="0"/>
              <w:spacing w:after="0"/>
              <w:rPr>
                <w:rFonts w:ascii="Calibri" w:eastAsia="Times New Roman" w:hAnsi="Calibri" w:cs="Calibri"/>
                <w:b/>
                <w:bCs/>
                <w:color w:val="0070C0"/>
                <w:sz w:val="18"/>
                <w:szCs w:val="18"/>
                <w:lang w:eastAsia="en-GB"/>
              </w:rPr>
            </w:pPr>
            <w:r w:rsidRPr="00EF6C6D">
              <w:rPr>
                <w:rFonts w:ascii="Calibri" w:eastAsia="Times New Roman" w:hAnsi="Calibri" w:cs="Calibri"/>
                <w:b/>
                <w:bCs/>
                <w:color w:val="0070C0"/>
                <w:sz w:val="18"/>
                <w:szCs w:val="18"/>
                <w:lang w:eastAsia="en-GB"/>
              </w:rPr>
              <w:t>Address</w:t>
            </w:r>
          </w:p>
        </w:tc>
        <w:tc>
          <w:tcPr>
            <w:tcW w:w="671" w:type="dxa"/>
            <w:tcBorders>
              <w:top w:val="nil"/>
              <w:left w:val="nil"/>
              <w:bottom w:val="nil"/>
              <w:right w:val="nil"/>
            </w:tcBorders>
            <w:shd w:val="clear" w:color="auto" w:fill="auto"/>
            <w:noWrap/>
            <w:vAlign w:val="center"/>
            <w:hideMark/>
          </w:tcPr>
          <w:p w14:paraId="78611112" w14:textId="77777777" w:rsidR="003D05E8" w:rsidRPr="00EF6C6D" w:rsidRDefault="003D05E8" w:rsidP="004636F0">
            <w:pPr>
              <w:keepLines w:val="0"/>
              <w:spacing w:after="0"/>
              <w:jc w:val="center"/>
              <w:rPr>
                <w:rFonts w:ascii="Calibri" w:eastAsia="Times New Roman" w:hAnsi="Calibri" w:cs="Calibri"/>
                <w:b/>
                <w:bCs/>
                <w:color w:val="0070C0"/>
                <w:sz w:val="18"/>
                <w:szCs w:val="18"/>
                <w:lang w:eastAsia="en-GB"/>
              </w:rPr>
            </w:pPr>
            <w:r w:rsidRPr="00EF6C6D">
              <w:rPr>
                <w:rFonts w:ascii="Calibri" w:eastAsia="Times New Roman" w:hAnsi="Calibri" w:cs="Calibri"/>
                <w:b/>
                <w:bCs/>
                <w:color w:val="0070C0"/>
                <w:sz w:val="18"/>
                <w:szCs w:val="18"/>
                <w:lang w:eastAsia="en-GB"/>
              </w:rPr>
              <w:t>Jan</w:t>
            </w:r>
          </w:p>
        </w:tc>
        <w:tc>
          <w:tcPr>
            <w:tcW w:w="671" w:type="dxa"/>
            <w:tcBorders>
              <w:top w:val="nil"/>
              <w:left w:val="nil"/>
              <w:bottom w:val="nil"/>
              <w:right w:val="nil"/>
            </w:tcBorders>
            <w:shd w:val="clear" w:color="auto" w:fill="auto"/>
            <w:noWrap/>
            <w:vAlign w:val="center"/>
            <w:hideMark/>
          </w:tcPr>
          <w:p w14:paraId="3ED8E85C" w14:textId="77777777" w:rsidR="003D05E8" w:rsidRPr="00EF6C6D" w:rsidRDefault="003D05E8" w:rsidP="004636F0">
            <w:pPr>
              <w:keepLines w:val="0"/>
              <w:spacing w:after="0"/>
              <w:jc w:val="center"/>
              <w:rPr>
                <w:rFonts w:ascii="Calibri" w:eastAsia="Times New Roman" w:hAnsi="Calibri" w:cs="Calibri"/>
                <w:b/>
                <w:bCs/>
                <w:color w:val="0070C0"/>
                <w:sz w:val="18"/>
                <w:szCs w:val="18"/>
                <w:lang w:eastAsia="en-GB"/>
              </w:rPr>
            </w:pPr>
            <w:r w:rsidRPr="00EF6C6D">
              <w:rPr>
                <w:rFonts w:ascii="Calibri" w:eastAsia="Times New Roman" w:hAnsi="Calibri" w:cs="Calibri"/>
                <w:b/>
                <w:bCs/>
                <w:color w:val="0070C0"/>
                <w:sz w:val="18"/>
                <w:szCs w:val="18"/>
                <w:lang w:eastAsia="en-GB"/>
              </w:rPr>
              <w:t>Feb</w:t>
            </w:r>
          </w:p>
        </w:tc>
        <w:tc>
          <w:tcPr>
            <w:tcW w:w="671" w:type="dxa"/>
            <w:tcBorders>
              <w:top w:val="nil"/>
              <w:left w:val="nil"/>
              <w:bottom w:val="nil"/>
              <w:right w:val="nil"/>
            </w:tcBorders>
            <w:shd w:val="clear" w:color="auto" w:fill="auto"/>
            <w:noWrap/>
            <w:vAlign w:val="center"/>
            <w:hideMark/>
          </w:tcPr>
          <w:p w14:paraId="2256DEFA" w14:textId="77777777" w:rsidR="003D05E8" w:rsidRPr="00EF6C6D" w:rsidRDefault="003D05E8" w:rsidP="004636F0">
            <w:pPr>
              <w:keepLines w:val="0"/>
              <w:spacing w:after="0"/>
              <w:jc w:val="center"/>
              <w:rPr>
                <w:rFonts w:ascii="Calibri" w:eastAsia="Times New Roman" w:hAnsi="Calibri" w:cs="Calibri"/>
                <w:b/>
                <w:bCs/>
                <w:color w:val="0070C0"/>
                <w:sz w:val="18"/>
                <w:szCs w:val="18"/>
                <w:lang w:eastAsia="en-GB"/>
              </w:rPr>
            </w:pPr>
            <w:r w:rsidRPr="00EF6C6D">
              <w:rPr>
                <w:rFonts w:ascii="Calibri" w:eastAsia="Times New Roman" w:hAnsi="Calibri" w:cs="Calibri"/>
                <w:b/>
                <w:bCs/>
                <w:color w:val="0070C0"/>
                <w:sz w:val="18"/>
                <w:szCs w:val="18"/>
                <w:lang w:eastAsia="en-GB"/>
              </w:rPr>
              <w:t>Mar</w:t>
            </w:r>
          </w:p>
        </w:tc>
        <w:tc>
          <w:tcPr>
            <w:tcW w:w="671" w:type="dxa"/>
            <w:tcBorders>
              <w:top w:val="nil"/>
              <w:left w:val="nil"/>
              <w:bottom w:val="nil"/>
              <w:right w:val="nil"/>
            </w:tcBorders>
            <w:shd w:val="clear" w:color="auto" w:fill="auto"/>
            <w:noWrap/>
            <w:vAlign w:val="center"/>
            <w:hideMark/>
          </w:tcPr>
          <w:p w14:paraId="79B4D038" w14:textId="77777777" w:rsidR="003D05E8" w:rsidRPr="00EF6C6D" w:rsidRDefault="003D05E8" w:rsidP="004636F0">
            <w:pPr>
              <w:keepLines w:val="0"/>
              <w:spacing w:after="0"/>
              <w:jc w:val="center"/>
              <w:rPr>
                <w:rFonts w:ascii="Calibri" w:eastAsia="Times New Roman" w:hAnsi="Calibri" w:cs="Calibri"/>
                <w:b/>
                <w:bCs/>
                <w:color w:val="0070C0"/>
                <w:sz w:val="18"/>
                <w:szCs w:val="18"/>
                <w:lang w:eastAsia="en-GB"/>
              </w:rPr>
            </w:pPr>
            <w:r w:rsidRPr="00EF6C6D">
              <w:rPr>
                <w:rFonts w:ascii="Calibri" w:eastAsia="Times New Roman" w:hAnsi="Calibri" w:cs="Calibri"/>
                <w:b/>
                <w:bCs/>
                <w:color w:val="0070C0"/>
                <w:sz w:val="18"/>
                <w:szCs w:val="18"/>
                <w:lang w:eastAsia="en-GB"/>
              </w:rPr>
              <w:t>Apr</w:t>
            </w:r>
          </w:p>
        </w:tc>
        <w:tc>
          <w:tcPr>
            <w:tcW w:w="671" w:type="dxa"/>
            <w:tcBorders>
              <w:top w:val="nil"/>
              <w:left w:val="nil"/>
              <w:bottom w:val="nil"/>
              <w:right w:val="nil"/>
            </w:tcBorders>
            <w:shd w:val="clear" w:color="auto" w:fill="auto"/>
            <w:noWrap/>
            <w:vAlign w:val="center"/>
            <w:hideMark/>
          </w:tcPr>
          <w:p w14:paraId="28A4E56A" w14:textId="77777777" w:rsidR="003D05E8" w:rsidRPr="00EF6C6D" w:rsidRDefault="003D05E8" w:rsidP="004636F0">
            <w:pPr>
              <w:keepLines w:val="0"/>
              <w:spacing w:after="0"/>
              <w:jc w:val="center"/>
              <w:rPr>
                <w:rFonts w:ascii="Calibri" w:eastAsia="Times New Roman" w:hAnsi="Calibri" w:cs="Calibri"/>
                <w:b/>
                <w:bCs/>
                <w:color w:val="0070C0"/>
                <w:sz w:val="18"/>
                <w:szCs w:val="18"/>
                <w:lang w:eastAsia="en-GB"/>
              </w:rPr>
            </w:pPr>
            <w:r w:rsidRPr="00EF6C6D">
              <w:rPr>
                <w:rFonts w:ascii="Calibri" w:eastAsia="Times New Roman" w:hAnsi="Calibri" w:cs="Calibri"/>
                <w:b/>
                <w:bCs/>
                <w:color w:val="0070C0"/>
                <w:sz w:val="18"/>
                <w:szCs w:val="18"/>
                <w:lang w:eastAsia="en-GB"/>
              </w:rPr>
              <w:t>May</w:t>
            </w:r>
          </w:p>
        </w:tc>
        <w:tc>
          <w:tcPr>
            <w:tcW w:w="671" w:type="dxa"/>
            <w:tcBorders>
              <w:top w:val="nil"/>
              <w:left w:val="nil"/>
              <w:bottom w:val="nil"/>
              <w:right w:val="nil"/>
            </w:tcBorders>
            <w:shd w:val="clear" w:color="auto" w:fill="auto"/>
            <w:noWrap/>
            <w:vAlign w:val="center"/>
            <w:hideMark/>
          </w:tcPr>
          <w:p w14:paraId="5901CABB" w14:textId="77777777" w:rsidR="003D05E8" w:rsidRPr="00EF6C6D" w:rsidRDefault="003D05E8" w:rsidP="004636F0">
            <w:pPr>
              <w:keepLines w:val="0"/>
              <w:spacing w:after="0"/>
              <w:jc w:val="center"/>
              <w:rPr>
                <w:rFonts w:ascii="Calibri" w:eastAsia="Times New Roman" w:hAnsi="Calibri" w:cs="Calibri"/>
                <w:b/>
                <w:bCs/>
                <w:color w:val="0070C0"/>
                <w:sz w:val="18"/>
                <w:szCs w:val="18"/>
                <w:lang w:eastAsia="en-GB"/>
              </w:rPr>
            </w:pPr>
            <w:r w:rsidRPr="00EF6C6D">
              <w:rPr>
                <w:rFonts w:ascii="Calibri" w:eastAsia="Times New Roman" w:hAnsi="Calibri" w:cs="Calibri"/>
                <w:b/>
                <w:bCs/>
                <w:color w:val="0070C0"/>
                <w:sz w:val="18"/>
                <w:szCs w:val="18"/>
                <w:lang w:eastAsia="en-GB"/>
              </w:rPr>
              <w:t>Jun</w:t>
            </w:r>
          </w:p>
        </w:tc>
        <w:tc>
          <w:tcPr>
            <w:tcW w:w="671" w:type="dxa"/>
            <w:tcBorders>
              <w:top w:val="nil"/>
              <w:left w:val="nil"/>
              <w:bottom w:val="nil"/>
              <w:right w:val="nil"/>
            </w:tcBorders>
            <w:shd w:val="clear" w:color="auto" w:fill="auto"/>
            <w:noWrap/>
            <w:vAlign w:val="center"/>
            <w:hideMark/>
          </w:tcPr>
          <w:p w14:paraId="34CB3CC1" w14:textId="77777777" w:rsidR="003D05E8" w:rsidRPr="00EF6C6D" w:rsidRDefault="003D05E8" w:rsidP="004636F0">
            <w:pPr>
              <w:keepLines w:val="0"/>
              <w:spacing w:after="0"/>
              <w:jc w:val="center"/>
              <w:rPr>
                <w:rFonts w:ascii="Calibri" w:eastAsia="Times New Roman" w:hAnsi="Calibri" w:cs="Calibri"/>
                <w:b/>
                <w:bCs/>
                <w:color w:val="0070C0"/>
                <w:sz w:val="18"/>
                <w:szCs w:val="18"/>
                <w:lang w:eastAsia="en-GB"/>
              </w:rPr>
            </w:pPr>
            <w:r w:rsidRPr="00EF6C6D">
              <w:rPr>
                <w:rFonts w:ascii="Calibri" w:eastAsia="Times New Roman" w:hAnsi="Calibri" w:cs="Calibri"/>
                <w:b/>
                <w:bCs/>
                <w:color w:val="0070C0"/>
                <w:sz w:val="18"/>
                <w:szCs w:val="18"/>
                <w:lang w:eastAsia="en-GB"/>
              </w:rPr>
              <w:t>Jul</w:t>
            </w:r>
          </w:p>
        </w:tc>
        <w:tc>
          <w:tcPr>
            <w:tcW w:w="671" w:type="dxa"/>
            <w:tcBorders>
              <w:top w:val="nil"/>
              <w:left w:val="nil"/>
              <w:bottom w:val="nil"/>
              <w:right w:val="nil"/>
            </w:tcBorders>
            <w:shd w:val="clear" w:color="auto" w:fill="auto"/>
            <w:noWrap/>
            <w:vAlign w:val="center"/>
            <w:hideMark/>
          </w:tcPr>
          <w:p w14:paraId="73E68343" w14:textId="77777777" w:rsidR="003D05E8" w:rsidRPr="00EF6C6D" w:rsidRDefault="003D05E8" w:rsidP="004636F0">
            <w:pPr>
              <w:keepLines w:val="0"/>
              <w:spacing w:after="0"/>
              <w:jc w:val="center"/>
              <w:rPr>
                <w:rFonts w:ascii="Calibri" w:eastAsia="Times New Roman" w:hAnsi="Calibri" w:cs="Calibri"/>
                <w:b/>
                <w:bCs/>
                <w:color w:val="0070C0"/>
                <w:sz w:val="18"/>
                <w:szCs w:val="18"/>
                <w:lang w:eastAsia="en-GB"/>
              </w:rPr>
            </w:pPr>
            <w:r w:rsidRPr="00EF6C6D">
              <w:rPr>
                <w:rFonts w:ascii="Calibri" w:eastAsia="Times New Roman" w:hAnsi="Calibri" w:cs="Calibri"/>
                <w:b/>
                <w:bCs/>
                <w:color w:val="0070C0"/>
                <w:sz w:val="18"/>
                <w:szCs w:val="18"/>
                <w:lang w:eastAsia="en-GB"/>
              </w:rPr>
              <w:t>Aug</w:t>
            </w:r>
          </w:p>
        </w:tc>
        <w:tc>
          <w:tcPr>
            <w:tcW w:w="671" w:type="dxa"/>
            <w:tcBorders>
              <w:top w:val="nil"/>
              <w:left w:val="nil"/>
              <w:bottom w:val="nil"/>
              <w:right w:val="nil"/>
            </w:tcBorders>
            <w:shd w:val="clear" w:color="auto" w:fill="auto"/>
            <w:noWrap/>
            <w:vAlign w:val="center"/>
            <w:hideMark/>
          </w:tcPr>
          <w:p w14:paraId="6D46A8A8" w14:textId="77777777" w:rsidR="003D05E8" w:rsidRPr="00EF6C6D" w:rsidRDefault="003D05E8" w:rsidP="004636F0">
            <w:pPr>
              <w:keepLines w:val="0"/>
              <w:spacing w:after="0"/>
              <w:jc w:val="center"/>
              <w:rPr>
                <w:rFonts w:ascii="Calibri" w:eastAsia="Times New Roman" w:hAnsi="Calibri" w:cs="Calibri"/>
                <w:b/>
                <w:bCs/>
                <w:color w:val="0070C0"/>
                <w:sz w:val="18"/>
                <w:szCs w:val="18"/>
                <w:lang w:eastAsia="en-GB"/>
              </w:rPr>
            </w:pPr>
            <w:r w:rsidRPr="00EF6C6D">
              <w:rPr>
                <w:rFonts w:ascii="Calibri" w:eastAsia="Times New Roman" w:hAnsi="Calibri" w:cs="Calibri"/>
                <w:b/>
                <w:bCs/>
                <w:color w:val="0070C0"/>
                <w:sz w:val="18"/>
                <w:szCs w:val="18"/>
                <w:lang w:eastAsia="en-GB"/>
              </w:rPr>
              <w:t>Sep</w:t>
            </w:r>
          </w:p>
        </w:tc>
        <w:tc>
          <w:tcPr>
            <w:tcW w:w="671" w:type="dxa"/>
            <w:tcBorders>
              <w:top w:val="nil"/>
              <w:left w:val="nil"/>
              <w:bottom w:val="nil"/>
              <w:right w:val="nil"/>
            </w:tcBorders>
            <w:shd w:val="clear" w:color="auto" w:fill="auto"/>
            <w:noWrap/>
            <w:vAlign w:val="center"/>
            <w:hideMark/>
          </w:tcPr>
          <w:p w14:paraId="4AC13708" w14:textId="77777777" w:rsidR="003D05E8" w:rsidRPr="00EF6C6D" w:rsidRDefault="003D05E8" w:rsidP="004636F0">
            <w:pPr>
              <w:keepLines w:val="0"/>
              <w:spacing w:after="0"/>
              <w:jc w:val="center"/>
              <w:rPr>
                <w:rFonts w:ascii="Calibri" w:eastAsia="Times New Roman" w:hAnsi="Calibri" w:cs="Calibri"/>
                <w:b/>
                <w:bCs/>
                <w:color w:val="0070C0"/>
                <w:sz w:val="18"/>
                <w:szCs w:val="18"/>
                <w:lang w:eastAsia="en-GB"/>
              </w:rPr>
            </w:pPr>
            <w:r w:rsidRPr="00EF6C6D">
              <w:rPr>
                <w:rFonts w:ascii="Calibri" w:eastAsia="Times New Roman" w:hAnsi="Calibri" w:cs="Calibri"/>
                <w:b/>
                <w:bCs/>
                <w:color w:val="0070C0"/>
                <w:sz w:val="18"/>
                <w:szCs w:val="18"/>
                <w:lang w:eastAsia="en-GB"/>
              </w:rPr>
              <w:t xml:space="preserve">Oct </w:t>
            </w:r>
          </w:p>
        </w:tc>
        <w:tc>
          <w:tcPr>
            <w:tcW w:w="671" w:type="dxa"/>
            <w:tcBorders>
              <w:top w:val="nil"/>
              <w:left w:val="nil"/>
              <w:bottom w:val="nil"/>
              <w:right w:val="nil"/>
            </w:tcBorders>
            <w:shd w:val="clear" w:color="auto" w:fill="auto"/>
            <w:noWrap/>
            <w:vAlign w:val="center"/>
            <w:hideMark/>
          </w:tcPr>
          <w:p w14:paraId="71690D70" w14:textId="77777777" w:rsidR="003D05E8" w:rsidRPr="00EF6C6D" w:rsidRDefault="003D05E8" w:rsidP="004636F0">
            <w:pPr>
              <w:keepLines w:val="0"/>
              <w:spacing w:after="0"/>
              <w:jc w:val="center"/>
              <w:rPr>
                <w:rFonts w:ascii="Calibri" w:eastAsia="Times New Roman" w:hAnsi="Calibri" w:cs="Calibri"/>
                <w:b/>
                <w:bCs/>
                <w:color w:val="0070C0"/>
                <w:sz w:val="18"/>
                <w:szCs w:val="18"/>
                <w:lang w:eastAsia="en-GB"/>
              </w:rPr>
            </w:pPr>
            <w:r w:rsidRPr="00EF6C6D">
              <w:rPr>
                <w:rFonts w:ascii="Calibri" w:eastAsia="Times New Roman" w:hAnsi="Calibri" w:cs="Calibri"/>
                <w:b/>
                <w:bCs/>
                <w:color w:val="0070C0"/>
                <w:sz w:val="18"/>
                <w:szCs w:val="18"/>
                <w:lang w:eastAsia="en-GB"/>
              </w:rPr>
              <w:t xml:space="preserve">Nov </w:t>
            </w:r>
          </w:p>
        </w:tc>
        <w:tc>
          <w:tcPr>
            <w:tcW w:w="671" w:type="dxa"/>
            <w:tcBorders>
              <w:top w:val="nil"/>
              <w:left w:val="nil"/>
              <w:bottom w:val="nil"/>
              <w:right w:val="nil"/>
            </w:tcBorders>
            <w:shd w:val="clear" w:color="auto" w:fill="auto"/>
            <w:noWrap/>
            <w:vAlign w:val="center"/>
            <w:hideMark/>
          </w:tcPr>
          <w:p w14:paraId="6635723A" w14:textId="77777777" w:rsidR="003D05E8" w:rsidRPr="00EF6C6D" w:rsidRDefault="003D05E8" w:rsidP="004636F0">
            <w:pPr>
              <w:keepLines w:val="0"/>
              <w:spacing w:after="0"/>
              <w:jc w:val="center"/>
              <w:rPr>
                <w:rFonts w:ascii="Calibri" w:eastAsia="Times New Roman" w:hAnsi="Calibri" w:cs="Calibri"/>
                <w:b/>
                <w:bCs/>
                <w:color w:val="0070C0"/>
                <w:sz w:val="18"/>
                <w:szCs w:val="18"/>
                <w:lang w:eastAsia="en-GB"/>
              </w:rPr>
            </w:pPr>
            <w:r w:rsidRPr="00EF6C6D">
              <w:rPr>
                <w:rFonts w:ascii="Calibri" w:eastAsia="Times New Roman" w:hAnsi="Calibri" w:cs="Calibri"/>
                <w:b/>
                <w:bCs/>
                <w:color w:val="0070C0"/>
                <w:sz w:val="18"/>
                <w:szCs w:val="18"/>
                <w:lang w:eastAsia="en-GB"/>
              </w:rPr>
              <w:t>Dec</w:t>
            </w:r>
          </w:p>
        </w:tc>
      </w:tr>
      <w:tr w:rsidR="003D05E8" w:rsidRPr="00EF6C6D" w14:paraId="0C2B8476" w14:textId="77777777" w:rsidTr="004636F0">
        <w:trPr>
          <w:trHeight w:val="402"/>
        </w:trPr>
        <w:tc>
          <w:tcPr>
            <w:tcW w:w="2015" w:type="dxa"/>
            <w:tcBorders>
              <w:top w:val="nil"/>
              <w:left w:val="nil"/>
              <w:bottom w:val="nil"/>
              <w:right w:val="nil"/>
            </w:tcBorders>
            <w:shd w:val="clear" w:color="auto" w:fill="auto"/>
            <w:noWrap/>
            <w:vAlign w:val="center"/>
            <w:hideMark/>
          </w:tcPr>
          <w:p w14:paraId="6C62297B" w14:textId="77777777" w:rsidR="003D05E8" w:rsidRPr="00EF6C6D" w:rsidRDefault="003D05E8" w:rsidP="004636F0">
            <w:pPr>
              <w:keepLines w:val="0"/>
              <w:spacing w:after="0"/>
              <w:rPr>
                <w:rFonts w:ascii="Calibri" w:eastAsia="Times New Roman" w:hAnsi="Calibri" w:cs="Calibri"/>
                <w:color w:val="0070C0"/>
                <w:sz w:val="18"/>
                <w:szCs w:val="18"/>
                <w:lang w:eastAsia="en-GB"/>
              </w:rPr>
            </w:pPr>
            <w:proofErr w:type="spellStart"/>
            <w:r w:rsidRPr="00EF6C6D">
              <w:rPr>
                <w:rFonts w:ascii="Calibri" w:eastAsia="Times New Roman" w:hAnsi="Calibri" w:cs="Calibri"/>
                <w:color w:val="0070C0"/>
                <w:sz w:val="18"/>
                <w:szCs w:val="18"/>
                <w:lang w:eastAsia="en-GB"/>
              </w:rPr>
              <w:t>Amblecote</w:t>
            </w:r>
            <w:proofErr w:type="spellEnd"/>
            <w:r w:rsidRPr="00EF6C6D">
              <w:rPr>
                <w:rFonts w:ascii="Calibri" w:eastAsia="Times New Roman" w:hAnsi="Calibri" w:cs="Calibri"/>
                <w:color w:val="0070C0"/>
                <w:sz w:val="18"/>
                <w:szCs w:val="18"/>
                <w:lang w:eastAsia="en-GB"/>
              </w:rPr>
              <w:t xml:space="preserve"> Primary</w:t>
            </w:r>
          </w:p>
        </w:tc>
        <w:tc>
          <w:tcPr>
            <w:tcW w:w="671" w:type="dxa"/>
            <w:tcBorders>
              <w:top w:val="nil"/>
              <w:left w:val="nil"/>
              <w:bottom w:val="nil"/>
              <w:right w:val="nil"/>
            </w:tcBorders>
            <w:shd w:val="clear" w:color="auto" w:fill="auto"/>
            <w:noWrap/>
            <w:vAlign w:val="center"/>
            <w:hideMark/>
          </w:tcPr>
          <w:p w14:paraId="0CDE3E76"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n/a</w:t>
            </w:r>
          </w:p>
        </w:tc>
        <w:tc>
          <w:tcPr>
            <w:tcW w:w="671" w:type="dxa"/>
            <w:tcBorders>
              <w:top w:val="nil"/>
              <w:left w:val="nil"/>
              <w:bottom w:val="nil"/>
              <w:right w:val="nil"/>
            </w:tcBorders>
            <w:shd w:val="clear" w:color="auto" w:fill="auto"/>
            <w:noWrap/>
            <w:vAlign w:val="center"/>
            <w:hideMark/>
          </w:tcPr>
          <w:p w14:paraId="450EE233"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32.59</w:t>
            </w:r>
          </w:p>
        </w:tc>
        <w:tc>
          <w:tcPr>
            <w:tcW w:w="671" w:type="dxa"/>
            <w:tcBorders>
              <w:top w:val="nil"/>
              <w:left w:val="nil"/>
              <w:bottom w:val="nil"/>
              <w:right w:val="nil"/>
            </w:tcBorders>
            <w:shd w:val="clear" w:color="auto" w:fill="auto"/>
            <w:noWrap/>
            <w:vAlign w:val="center"/>
            <w:hideMark/>
          </w:tcPr>
          <w:p w14:paraId="6708943E"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24.27</w:t>
            </w:r>
          </w:p>
        </w:tc>
        <w:tc>
          <w:tcPr>
            <w:tcW w:w="671" w:type="dxa"/>
            <w:tcBorders>
              <w:top w:val="nil"/>
              <w:left w:val="nil"/>
              <w:bottom w:val="nil"/>
              <w:right w:val="nil"/>
            </w:tcBorders>
            <w:shd w:val="clear" w:color="auto" w:fill="auto"/>
            <w:noWrap/>
            <w:vAlign w:val="center"/>
            <w:hideMark/>
          </w:tcPr>
          <w:p w14:paraId="4F2C06EF"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21.43</w:t>
            </w:r>
          </w:p>
        </w:tc>
        <w:tc>
          <w:tcPr>
            <w:tcW w:w="671" w:type="dxa"/>
            <w:tcBorders>
              <w:top w:val="nil"/>
              <w:left w:val="nil"/>
              <w:bottom w:val="nil"/>
              <w:right w:val="nil"/>
            </w:tcBorders>
            <w:shd w:val="clear" w:color="auto" w:fill="auto"/>
            <w:noWrap/>
            <w:vAlign w:val="center"/>
            <w:hideMark/>
          </w:tcPr>
          <w:p w14:paraId="6712D4B1"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15.10</w:t>
            </w:r>
          </w:p>
        </w:tc>
        <w:tc>
          <w:tcPr>
            <w:tcW w:w="671" w:type="dxa"/>
            <w:tcBorders>
              <w:top w:val="nil"/>
              <w:left w:val="nil"/>
              <w:bottom w:val="nil"/>
              <w:right w:val="nil"/>
            </w:tcBorders>
            <w:shd w:val="clear" w:color="auto" w:fill="auto"/>
            <w:noWrap/>
            <w:vAlign w:val="center"/>
            <w:hideMark/>
          </w:tcPr>
          <w:p w14:paraId="58766A48"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11.72</w:t>
            </w:r>
          </w:p>
        </w:tc>
        <w:tc>
          <w:tcPr>
            <w:tcW w:w="671" w:type="dxa"/>
            <w:tcBorders>
              <w:top w:val="nil"/>
              <w:left w:val="nil"/>
              <w:bottom w:val="nil"/>
              <w:right w:val="nil"/>
            </w:tcBorders>
            <w:shd w:val="clear" w:color="auto" w:fill="auto"/>
            <w:noWrap/>
            <w:vAlign w:val="center"/>
            <w:hideMark/>
          </w:tcPr>
          <w:p w14:paraId="51D84025"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12.49</w:t>
            </w:r>
          </w:p>
        </w:tc>
        <w:tc>
          <w:tcPr>
            <w:tcW w:w="671" w:type="dxa"/>
            <w:tcBorders>
              <w:top w:val="nil"/>
              <w:left w:val="nil"/>
              <w:bottom w:val="nil"/>
              <w:right w:val="nil"/>
            </w:tcBorders>
            <w:shd w:val="clear" w:color="auto" w:fill="auto"/>
            <w:noWrap/>
            <w:vAlign w:val="center"/>
            <w:hideMark/>
          </w:tcPr>
          <w:p w14:paraId="7021AC2C"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 xml:space="preserve">n/a </w:t>
            </w:r>
          </w:p>
        </w:tc>
        <w:tc>
          <w:tcPr>
            <w:tcW w:w="671" w:type="dxa"/>
            <w:tcBorders>
              <w:top w:val="nil"/>
              <w:left w:val="nil"/>
              <w:bottom w:val="nil"/>
              <w:right w:val="nil"/>
            </w:tcBorders>
            <w:shd w:val="clear" w:color="auto" w:fill="auto"/>
            <w:noWrap/>
            <w:vAlign w:val="center"/>
            <w:hideMark/>
          </w:tcPr>
          <w:p w14:paraId="56D700EE"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26.43</w:t>
            </w:r>
          </w:p>
        </w:tc>
        <w:tc>
          <w:tcPr>
            <w:tcW w:w="671" w:type="dxa"/>
            <w:tcBorders>
              <w:top w:val="nil"/>
              <w:left w:val="nil"/>
              <w:bottom w:val="nil"/>
              <w:right w:val="nil"/>
            </w:tcBorders>
            <w:shd w:val="clear" w:color="auto" w:fill="auto"/>
            <w:noWrap/>
            <w:vAlign w:val="center"/>
            <w:hideMark/>
          </w:tcPr>
          <w:p w14:paraId="114B8880"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18.23</w:t>
            </w:r>
          </w:p>
        </w:tc>
        <w:tc>
          <w:tcPr>
            <w:tcW w:w="671" w:type="dxa"/>
            <w:tcBorders>
              <w:top w:val="nil"/>
              <w:left w:val="nil"/>
              <w:bottom w:val="nil"/>
              <w:right w:val="nil"/>
            </w:tcBorders>
            <w:shd w:val="clear" w:color="auto" w:fill="auto"/>
            <w:noWrap/>
            <w:vAlign w:val="center"/>
            <w:hideMark/>
          </w:tcPr>
          <w:p w14:paraId="19C04868"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24.62</w:t>
            </w:r>
          </w:p>
        </w:tc>
        <w:tc>
          <w:tcPr>
            <w:tcW w:w="671" w:type="dxa"/>
            <w:tcBorders>
              <w:top w:val="nil"/>
              <w:left w:val="nil"/>
              <w:bottom w:val="nil"/>
              <w:right w:val="nil"/>
            </w:tcBorders>
            <w:shd w:val="clear" w:color="auto" w:fill="auto"/>
            <w:noWrap/>
            <w:vAlign w:val="center"/>
            <w:hideMark/>
          </w:tcPr>
          <w:p w14:paraId="00A67036"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n/a</w:t>
            </w:r>
          </w:p>
        </w:tc>
      </w:tr>
      <w:tr w:rsidR="003D05E8" w:rsidRPr="00EF6C6D" w14:paraId="079FC187" w14:textId="77777777" w:rsidTr="004636F0">
        <w:trPr>
          <w:trHeight w:val="402"/>
        </w:trPr>
        <w:tc>
          <w:tcPr>
            <w:tcW w:w="2015" w:type="dxa"/>
            <w:tcBorders>
              <w:top w:val="nil"/>
              <w:left w:val="nil"/>
              <w:bottom w:val="nil"/>
              <w:right w:val="nil"/>
            </w:tcBorders>
            <w:shd w:val="clear" w:color="auto" w:fill="auto"/>
            <w:noWrap/>
            <w:vAlign w:val="center"/>
            <w:hideMark/>
          </w:tcPr>
          <w:p w14:paraId="7C856939" w14:textId="77777777" w:rsidR="003D05E8" w:rsidRPr="00EF6C6D" w:rsidRDefault="003D05E8" w:rsidP="004636F0">
            <w:pPr>
              <w:keepLines w:val="0"/>
              <w:spacing w:after="0"/>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Christ Church Primary</w:t>
            </w:r>
          </w:p>
        </w:tc>
        <w:tc>
          <w:tcPr>
            <w:tcW w:w="671" w:type="dxa"/>
            <w:tcBorders>
              <w:top w:val="nil"/>
              <w:left w:val="nil"/>
              <w:bottom w:val="nil"/>
              <w:right w:val="nil"/>
            </w:tcBorders>
            <w:shd w:val="clear" w:color="auto" w:fill="auto"/>
            <w:noWrap/>
            <w:vAlign w:val="center"/>
            <w:hideMark/>
          </w:tcPr>
          <w:p w14:paraId="2522AA8E"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37.78</w:t>
            </w:r>
          </w:p>
        </w:tc>
        <w:tc>
          <w:tcPr>
            <w:tcW w:w="671" w:type="dxa"/>
            <w:tcBorders>
              <w:top w:val="nil"/>
              <w:left w:val="nil"/>
              <w:bottom w:val="nil"/>
              <w:right w:val="nil"/>
            </w:tcBorders>
            <w:shd w:val="clear" w:color="auto" w:fill="auto"/>
            <w:noWrap/>
            <w:vAlign w:val="center"/>
            <w:hideMark/>
          </w:tcPr>
          <w:p w14:paraId="3DF5C89A"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35.94</w:t>
            </w:r>
          </w:p>
        </w:tc>
        <w:tc>
          <w:tcPr>
            <w:tcW w:w="671" w:type="dxa"/>
            <w:tcBorders>
              <w:top w:val="nil"/>
              <w:left w:val="nil"/>
              <w:bottom w:val="nil"/>
              <w:right w:val="nil"/>
            </w:tcBorders>
            <w:shd w:val="clear" w:color="auto" w:fill="auto"/>
            <w:noWrap/>
            <w:vAlign w:val="center"/>
            <w:hideMark/>
          </w:tcPr>
          <w:p w14:paraId="191D8C92"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23.07</w:t>
            </w:r>
          </w:p>
        </w:tc>
        <w:tc>
          <w:tcPr>
            <w:tcW w:w="671" w:type="dxa"/>
            <w:tcBorders>
              <w:top w:val="nil"/>
              <w:left w:val="nil"/>
              <w:bottom w:val="nil"/>
              <w:right w:val="nil"/>
            </w:tcBorders>
            <w:shd w:val="clear" w:color="auto" w:fill="auto"/>
            <w:noWrap/>
            <w:vAlign w:val="center"/>
            <w:hideMark/>
          </w:tcPr>
          <w:p w14:paraId="1DA6819A"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21.24</w:t>
            </w:r>
          </w:p>
        </w:tc>
        <w:tc>
          <w:tcPr>
            <w:tcW w:w="671" w:type="dxa"/>
            <w:tcBorders>
              <w:top w:val="nil"/>
              <w:left w:val="nil"/>
              <w:bottom w:val="nil"/>
              <w:right w:val="nil"/>
            </w:tcBorders>
            <w:shd w:val="clear" w:color="auto" w:fill="auto"/>
            <w:noWrap/>
            <w:vAlign w:val="center"/>
            <w:hideMark/>
          </w:tcPr>
          <w:p w14:paraId="17C6AC24"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18.80</w:t>
            </w:r>
          </w:p>
        </w:tc>
        <w:tc>
          <w:tcPr>
            <w:tcW w:w="671" w:type="dxa"/>
            <w:tcBorders>
              <w:top w:val="nil"/>
              <w:left w:val="nil"/>
              <w:bottom w:val="nil"/>
              <w:right w:val="nil"/>
            </w:tcBorders>
            <w:shd w:val="clear" w:color="auto" w:fill="auto"/>
            <w:noWrap/>
            <w:vAlign w:val="center"/>
            <w:hideMark/>
          </w:tcPr>
          <w:p w14:paraId="3BC6A796"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18.60</w:t>
            </w:r>
          </w:p>
        </w:tc>
        <w:tc>
          <w:tcPr>
            <w:tcW w:w="671" w:type="dxa"/>
            <w:tcBorders>
              <w:top w:val="nil"/>
              <w:left w:val="nil"/>
              <w:bottom w:val="nil"/>
              <w:right w:val="nil"/>
            </w:tcBorders>
            <w:shd w:val="clear" w:color="auto" w:fill="auto"/>
            <w:noWrap/>
            <w:vAlign w:val="center"/>
            <w:hideMark/>
          </w:tcPr>
          <w:p w14:paraId="4F17FC69"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12.90</w:t>
            </w:r>
          </w:p>
        </w:tc>
        <w:tc>
          <w:tcPr>
            <w:tcW w:w="671" w:type="dxa"/>
            <w:tcBorders>
              <w:top w:val="nil"/>
              <w:left w:val="nil"/>
              <w:bottom w:val="nil"/>
              <w:right w:val="nil"/>
            </w:tcBorders>
            <w:shd w:val="clear" w:color="auto" w:fill="auto"/>
            <w:noWrap/>
            <w:vAlign w:val="center"/>
            <w:hideMark/>
          </w:tcPr>
          <w:p w14:paraId="663B1698"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n/a</w:t>
            </w:r>
          </w:p>
        </w:tc>
        <w:tc>
          <w:tcPr>
            <w:tcW w:w="671" w:type="dxa"/>
            <w:tcBorders>
              <w:top w:val="nil"/>
              <w:left w:val="nil"/>
              <w:bottom w:val="nil"/>
              <w:right w:val="nil"/>
            </w:tcBorders>
            <w:shd w:val="clear" w:color="auto" w:fill="auto"/>
            <w:noWrap/>
            <w:vAlign w:val="center"/>
            <w:hideMark/>
          </w:tcPr>
          <w:p w14:paraId="03DEA5E1"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18.90</w:t>
            </w:r>
          </w:p>
        </w:tc>
        <w:tc>
          <w:tcPr>
            <w:tcW w:w="671" w:type="dxa"/>
            <w:tcBorders>
              <w:top w:val="nil"/>
              <w:left w:val="nil"/>
              <w:bottom w:val="nil"/>
              <w:right w:val="nil"/>
            </w:tcBorders>
            <w:shd w:val="clear" w:color="auto" w:fill="auto"/>
            <w:noWrap/>
            <w:vAlign w:val="center"/>
            <w:hideMark/>
          </w:tcPr>
          <w:p w14:paraId="0F8E685B"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22.71</w:t>
            </w:r>
          </w:p>
        </w:tc>
        <w:tc>
          <w:tcPr>
            <w:tcW w:w="671" w:type="dxa"/>
            <w:tcBorders>
              <w:top w:val="nil"/>
              <w:left w:val="nil"/>
              <w:bottom w:val="nil"/>
              <w:right w:val="nil"/>
            </w:tcBorders>
            <w:shd w:val="clear" w:color="auto" w:fill="auto"/>
            <w:noWrap/>
            <w:vAlign w:val="center"/>
            <w:hideMark/>
          </w:tcPr>
          <w:p w14:paraId="654626B3"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highlight w:val="yellow"/>
                <w:lang w:eastAsia="en-GB"/>
              </w:rPr>
              <w:t>40.55</w:t>
            </w:r>
          </w:p>
        </w:tc>
        <w:tc>
          <w:tcPr>
            <w:tcW w:w="671" w:type="dxa"/>
            <w:tcBorders>
              <w:top w:val="nil"/>
              <w:left w:val="nil"/>
              <w:bottom w:val="nil"/>
              <w:right w:val="nil"/>
            </w:tcBorders>
            <w:shd w:val="clear" w:color="auto" w:fill="auto"/>
            <w:noWrap/>
            <w:vAlign w:val="center"/>
            <w:hideMark/>
          </w:tcPr>
          <w:p w14:paraId="4F479158"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n/a</w:t>
            </w:r>
          </w:p>
        </w:tc>
      </w:tr>
      <w:tr w:rsidR="003D05E8" w:rsidRPr="00EF6C6D" w14:paraId="51EFCBD7" w14:textId="77777777" w:rsidTr="004636F0">
        <w:trPr>
          <w:trHeight w:val="402"/>
        </w:trPr>
        <w:tc>
          <w:tcPr>
            <w:tcW w:w="2015" w:type="dxa"/>
            <w:tcBorders>
              <w:top w:val="nil"/>
              <w:left w:val="nil"/>
              <w:bottom w:val="nil"/>
              <w:right w:val="nil"/>
            </w:tcBorders>
            <w:shd w:val="clear" w:color="auto" w:fill="auto"/>
            <w:noWrap/>
            <w:vAlign w:val="center"/>
            <w:hideMark/>
          </w:tcPr>
          <w:p w14:paraId="16D00261" w14:textId="77777777" w:rsidR="003D05E8" w:rsidRPr="00EF6C6D" w:rsidRDefault="003D05E8" w:rsidP="004636F0">
            <w:pPr>
              <w:keepLines w:val="0"/>
              <w:spacing w:after="0"/>
              <w:rPr>
                <w:rFonts w:ascii="Calibri" w:eastAsia="Times New Roman" w:hAnsi="Calibri" w:cs="Calibri"/>
                <w:color w:val="0070C0"/>
                <w:sz w:val="18"/>
                <w:szCs w:val="18"/>
                <w:lang w:eastAsia="en-GB"/>
              </w:rPr>
            </w:pPr>
            <w:proofErr w:type="spellStart"/>
            <w:r w:rsidRPr="00EF6C6D">
              <w:rPr>
                <w:rFonts w:ascii="Calibri" w:eastAsia="Times New Roman" w:hAnsi="Calibri" w:cs="Calibri"/>
                <w:color w:val="0070C0"/>
                <w:sz w:val="18"/>
                <w:szCs w:val="18"/>
                <w:lang w:eastAsia="en-GB"/>
              </w:rPr>
              <w:t>Clent</w:t>
            </w:r>
            <w:proofErr w:type="spellEnd"/>
            <w:r w:rsidRPr="00EF6C6D">
              <w:rPr>
                <w:rFonts w:ascii="Calibri" w:eastAsia="Times New Roman" w:hAnsi="Calibri" w:cs="Calibri"/>
                <w:color w:val="0070C0"/>
                <w:sz w:val="18"/>
                <w:szCs w:val="18"/>
                <w:lang w:eastAsia="en-GB"/>
              </w:rPr>
              <w:t xml:space="preserve"> View</w:t>
            </w:r>
          </w:p>
        </w:tc>
        <w:tc>
          <w:tcPr>
            <w:tcW w:w="671" w:type="dxa"/>
            <w:tcBorders>
              <w:top w:val="nil"/>
              <w:left w:val="nil"/>
              <w:bottom w:val="nil"/>
              <w:right w:val="nil"/>
            </w:tcBorders>
            <w:shd w:val="clear" w:color="auto" w:fill="auto"/>
            <w:noWrap/>
            <w:vAlign w:val="center"/>
            <w:hideMark/>
          </w:tcPr>
          <w:p w14:paraId="44F80EC4"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26.72</w:t>
            </w:r>
          </w:p>
        </w:tc>
        <w:tc>
          <w:tcPr>
            <w:tcW w:w="671" w:type="dxa"/>
            <w:tcBorders>
              <w:top w:val="nil"/>
              <w:left w:val="nil"/>
              <w:bottom w:val="nil"/>
              <w:right w:val="nil"/>
            </w:tcBorders>
            <w:shd w:val="clear" w:color="auto" w:fill="auto"/>
            <w:noWrap/>
            <w:vAlign w:val="center"/>
            <w:hideMark/>
          </w:tcPr>
          <w:p w14:paraId="7B5B52A3"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29.49</w:t>
            </w:r>
          </w:p>
        </w:tc>
        <w:tc>
          <w:tcPr>
            <w:tcW w:w="671" w:type="dxa"/>
            <w:tcBorders>
              <w:top w:val="nil"/>
              <w:left w:val="nil"/>
              <w:bottom w:val="nil"/>
              <w:right w:val="nil"/>
            </w:tcBorders>
            <w:shd w:val="clear" w:color="auto" w:fill="auto"/>
            <w:noWrap/>
            <w:vAlign w:val="center"/>
            <w:hideMark/>
          </w:tcPr>
          <w:p w14:paraId="797E2475"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21.44</w:t>
            </w:r>
          </w:p>
        </w:tc>
        <w:tc>
          <w:tcPr>
            <w:tcW w:w="671" w:type="dxa"/>
            <w:tcBorders>
              <w:top w:val="nil"/>
              <w:left w:val="nil"/>
              <w:bottom w:val="nil"/>
              <w:right w:val="nil"/>
            </w:tcBorders>
            <w:shd w:val="clear" w:color="auto" w:fill="auto"/>
            <w:noWrap/>
            <w:vAlign w:val="center"/>
            <w:hideMark/>
          </w:tcPr>
          <w:p w14:paraId="77499669"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15.54</w:t>
            </w:r>
          </w:p>
        </w:tc>
        <w:tc>
          <w:tcPr>
            <w:tcW w:w="671" w:type="dxa"/>
            <w:tcBorders>
              <w:top w:val="nil"/>
              <w:left w:val="nil"/>
              <w:bottom w:val="nil"/>
              <w:right w:val="nil"/>
            </w:tcBorders>
            <w:shd w:val="clear" w:color="auto" w:fill="auto"/>
            <w:noWrap/>
            <w:vAlign w:val="center"/>
            <w:hideMark/>
          </w:tcPr>
          <w:p w14:paraId="5D1C285D"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10.74</w:t>
            </w:r>
          </w:p>
        </w:tc>
        <w:tc>
          <w:tcPr>
            <w:tcW w:w="671" w:type="dxa"/>
            <w:tcBorders>
              <w:top w:val="nil"/>
              <w:left w:val="nil"/>
              <w:bottom w:val="nil"/>
              <w:right w:val="nil"/>
            </w:tcBorders>
            <w:shd w:val="clear" w:color="auto" w:fill="auto"/>
            <w:noWrap/>
            <w:vAlign w:val="center"/>
            <w:hideMark/>
          </w:tcPr>
          <w:p w14:paraId="1C45591F"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11.61</w:t>
            </w:r>
          </w:p>
        </w:tc>
        <w:tc>
          <w:tcPr>
            <w:tcW w:w="671" w:type="dxa"/>
            <w:tcBorders>
              <w:top w:val="nil"/>
              <w:left w:val="nil"/>
              <w:bottom w:val="nil"/>
              <w:right w:val="nil"/>
            </w:tcBorders>
            <w:shd w:val="clear" w:color="auto" w:fill="auto"/>
            <w:noWrap/>
            <w:vAlign w:val="center"/>
            <w:hideMark/>
          </w:tcPr>
          <w:p w14:paraId="2B78ABDE"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7.63</w:t>
            </w:r>
          </w:p>
        </w:tc>
        <w:tc>
          <w:tcPr>
            <w:tcW w:w="671" w:type="dxa"/>
            <w:tcBorders>
              <w:top w:val="nil"/>
              <w:left w:val="nil"/>
              <w:bottom w:val="nil"/>
              <w:right w:val="nil"/>
            </w:tcBorders>
            <w:shd w:val="clear" w:color="auto" w:fill="auto"/>
            <w:noWrap/>
            <w:vAlign w:val="center"/>
            <w:hideMark/>
          </w:tcPr>
          <w:p w14:paraId="4F662091"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10.75</w:t>
            </w:r>
          </w:p>
        </w:tc>
        <w:tc>
          <w:tcPr>
            <w:tcW w:w="671" w:type="dxa"/>
            <w:tcBorders>
              <w:top w:val="nil"/>
              <w:left w:val="nil"/>
              <w:bottom w:val="nil"/>
              <w:right w:val="nil"/>
            </w:tcBorders>
            <w:shd w:val="clear" w:color="auto" w:fill="auto"/>
            <w:noWrap/>
            <w:vAlign w:val="center"/>
            <w:hideMark/>
          </w:tcPr>
          <w:p w14:paraId="1BFC2801"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11.65</w:t>
            </w:r>
          </w:p>
        </w:tc>
        <w:tc>
          <w:tcPr>
            <w:tcW w:w="671" w:type="dxa"/>
            <w:tcBorders>
              <w:top w:val="nil"/>
              <w:left w:val="nil"/>
              <w:bottom w:val="nil"/>
              <w:right w:val="nil"/>
            </w:tcBorders>
            <w:shd w:val="clear" w:color="auto" w:fill="auto"/>
            <w:noWrap/>
            <w:vAlign w:val="center"/>
            <w:hideMark/>
          </w:tcPr>
          <w:p w14:paraId="33977339"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15.06</w:t>
            </w:r>
          </w:p>
        </w:tc>
        <w:tc>
          <w:tcPr>
            <w:tcW w:w="671" w:type="dxa"/>
            <w:tcBorders>
              <w:top w:val="nil"/>
              <w:left w:val="nil"/>
              <w:bottom w:val="nil"/>
              <w:right w:val="nil"/>
            </w:tcBorders>
            <w:shd w:val="clear" w:color="auto" w:fill="auto"/>
            <w:noWrap/>
            <w:vAlign w:val="center"/>
            <w:hideMark/>
          </w:tcPr>
          <w:p w14:paraId="542C28C6"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26.77</w:t>
            </w:r>
          </w:p>
        </w:tc>
        <w:tc>
          <w:tcPr>
            <w:tcW w:w="671" w:type="dxa"/>
            <w:tcBorders>
              <w:top w:val="nil"/>
              <w:left w:val="nil"/>
              <w:bottom w:val="nil"/>
              <w:right w:val="nil"/>
            </w:tcBorders>
            <w:shd w:val="clear" w:color="auto" w:fill="auto"/>
            <w:noWrap/>
            <w:vAlign w:val="center"/>
            <w:hideMark/>
          </w:tcPr>
          <w:p w14:paraId="3D251051"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28.56</w:t>
            </w:r>
          </w:p>
        </w:tc>
      </w:tr>
      <w:tr w:rsidR="003D05E8" w:rsidRPr="00EF6C6D" w14:paraId="208CDEDE" w14:textId="77777777" w:rsidTr="004636F0">
        <w:trPr>
          <w:trHeight w:val="402"/>
        </w:trPr>
        <w:tc>
          <w:tcPr>
            <w:tcW w:w="2015" w:type="dxa"/>
            <w:tcBorders>
              <w:top w:val="nil"/>
              <w:left w:val="nil"/>
              <w:bottom w:val="nil"/>
              <w:right w:val="nil"/>
            </w:tcBorders>
            <w:shd w:val="clear" w:color="auto" w:fill="auto"/>
            <w:noWrap/>
            <w:vAlign w:val="center"/>
            <w:hideMark/>
          </w:tcPr>
          <w:p w14:paraId="776BDDD4" w14:textId="77777777" w:rsidR="003D05E8" w:rsidRPr="00EF6C6D" w:rsidRDefault="003D05E8" w:rsidP="004636F0">
            <w:pPr>
              <w:keepLines w:val="0"/>
              <w:spacing w:after="0"/>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Halesowen Road</w:t>
            </w:r>
          </w:p>
        </w:tc>
        <w:tc>
          <w:tcPr>
            <w:tcW w:w="671" w:type="dxa"/>
            <w:tcBorders>
              <w:top w:val="nil"/>
              <w:left w:val="nil"/>
              <w:bottom w:val="nil"/>
              <w:right w:val="nil"/>
            </w:tcBorders>
            <w:shd w:val="clear" w:color="auto" w:fill="auto"/>
            <w:noWrap/>
            <w:vAlign w:val="center"/>
            <w:hideMark/>
          </w:tcPr>
          <w:p w14:paraId="002A0F59" w14:textId="77777777" w:rsidR="003D05E8" w:rsidRPr="00EF6C6D" w:rsidRDefault="003D05E8" w:rsidP="004636F0">
            <w:pPr>
              <w:keepLines w:val="0"/>
              <w:spacing w:after="0"/>
              <w:jc w:val="center"/>
              <w:rPr>
                <w:rFonts w:ascii="Calibri" w:eastAsia="Times New Roman" w:hAnsi="Calibri" w:cs="Calibri"/>
                <w:color w:val="0070C0"/>
                <w:sz w:val="18"/>
                <w:szCs w:val="18"/>
                <w:highlight w:val="yellow"/>
                <w:lang w:eastAsia="en-GB"/>
              </w:rPr>
            </w:pPr>
            <w:r w:rsidRPr="00EF6C6D">
              <w:rPr>
                <w:rFonts w:ascii="Calibri" w:eastAsia="Times New Roman" w:hAnsi="Calibri" w:cs="Calibri"/>
                <w:color w:val="0070C0"/>
                <w:sz w:val="18"/>
                <w:szCs w:val="18"/>
                <w:highlight w:val="yellow"/>
                <w:lang w:eastAsia="en-GB"/>
              </w:rPr>
              <w:t>69.2</w:t>
            </w:r>
          </w:p>
        </w:tc>
        <w:tc>
          <w:tcPr>
            <w:tcW w:w="671" w:type="dxa"/>
            <w:tcBorders>
              <w:top w:val="nil"/>
              <w:left w:val="nil"/>
              <w:bottom w:val="nil"/>
              <w:right w:val="nil"/>
            </w:tcBorders>
            <w:shd w:val="clear" w:color="auto" w:fill="auto"/>
            <w:noWrap/>
            <w:vAlign w:val="center"/>
            <w:hideMark/>
          </w:tcPr>
          <w:p w14:paraId="689B6A39" w14:textId="77777777" w:rsidR="003D05E8" w:rsidRPr="00EF6C6D" w:rsidRDefault="003D05E8" w:rsidP="004636F0">
            <w:pPr>
              <w:keepLines w:val="0"/>
              <w:spacing w:after="0"/>
              <w:jc w:val="center"/>
              <w:rPr>
                <w:rFonts w:ascii="Calibri" w:eastAsia="Times New Roman" w:hAnsi="Calibri" w:cs="Calibri"/>
                <w:color w:val="0070C0"/>
                <w:sz w:val="18"/>
                <w:szCs w:val="18"/>
                <w:highlight w:val="yellow"/>
                <w:lang w:eastAsia="en-GB"/>
              </w:rPr>
            </w:pPr>
            <w:r w:rsidRPr="00EF6C6D">
              <w:rPr>
                <w:rFonts w:ascii="Calibri" w:eastAsia="Times New Roman" w:hAnsi="Calibri" w:cs="Calibri"/>
                <w:color w:val="0070C0"/>
                <w:sz w:val="18"/>
                <w:szCs w:val="18"/>
                <w:highlight w:val="yellow"/>
                <w:lang w:eastAsia="en-GB"/>
              </w:rPr>
              <w:t>63.2</w:t>
            </w:r>
          </w:p>
        </w:tc>
        <w:tc>
          <w:tcPr>
            <w:tcW w:w="671" w:type="dxa"/>
            <w:tcBorders>
              <w:top w:val="nil"/>
              <w:left w:val="nil"/>
              <w:bottom w:val="nil"/>
              <w:right w:val="nil"/>
            </w:tcBorders>
            <w:shd w:val="clear" w:color="auto" w:fill="auto"/>
            <w:noWrap/>
            <w:vAlign w:val="center"/>
            <w:hideMark/>
          </w:tcPr>
          <w:p w14:paraId="2D4702F2" w14:textId="77777777" w:rsidR="003D05E8" w:rsidRPr="00CF6051" w:rsidRDefault="003D05E8" w:rsidP="004636F0">
            <w:pPr>
              <w:keepLines w:val="0"/>
              <w:spacing w:after="0"/>
              <w:jc w:val="center"/>
              <w:rPr>
                <w:rFonts w:ascii="Calibri" w:eastAsia="Times New Roman" w:hAnsi="Calibri" w:cs="Calibri"/>
                <w:color w:val="0070C0"/>
                <w:sz w:val="18"/>
                <w:szCs w:val="18"/>
                <w:highlight w:val="yellow"/>
                <w:lang w:eastAsia="en-GB"/>
              </w:rPr>
            </w:pPr>
            <w:r w:rsidRPr="00CF6051">
              <w:rPr>
                <w:rFonts w:ascii="Calibri" w:eastAsia="Times New Roman" w:hAnsi="Calibri" w:cs="Calibri"/>
                <w:color w:val="0070C0"/>
                <w:sz w:val="18"/>
                <w:szCs w:val="18"/>
                <w:highlight w:val="yellow"/>
                <w:lang w:eastAsia="en-GB"/>
              </w:rPr>
              <w:t>61.9</w:t>
            </w:r>
          </w:p>
        </w:tc>
        <w:tc>
          <w:tcPr>
            <w:tcW w:w="671" w:type="dxa"/>
            <w:tcBorders>
              <w:top w:val="nil"/>
              <w:left w:val="nil"/>
              <w:bottom w:val="nil"/>
              <w:right w:val="nil"/>
            </w:tcBorders>
            <w:shd w:val="clear" w:color="auto" w:fill="auto"/>
            <w:noWrap/>
            <w:vAlign w:val="center"/>
            <w:hideMark/>
          </w:tcPr>
          <w:p w14:paraId="1848D7E8" w14:textId="77777777" w:rsidR="003D05E8" w:rsidRPr="00CF6051" w:rsidRDefault="003D05E8" w:rsidP="004636F0">
            <w:pPr>
              <w:keepLines w:val="0"/>
              <w:spacing w:after="0"/>
              <w:jc w:val="center"/>
              <w:rPr>
                <w:rFonts w:ascii="Calibri" w:eastAsia="Times New Roman" w:hAnsi="Calibri" w:cs="Calibri"/>
                <w:color w:val="0070C0"/>
                <w:sz w:val="18"/>
                <w:szCs w:val="18"/>
                <w:highlight w:val="yellow"/>
                <w:lang w:eastAsia="en-GB"/>
              </w:rPr>
            </w:pPr>
            <w:r w:rsidRPr="00CF6051">
              <w:rPr>
                <w:rFonts w:ascii="Calibri" w:eastAsia="Times New Roman" w:hAnsi="Calibri" w:cs="Calibri"/>
                <w:color w:val="0070C0"/>
                <w:sz w:val="18"/>
                <w:szCs w:val="18"/>
                <w:highlight w:val="yellow"/>
                <w:lang w:eastAsia="en-GB"/>
              </w:rPr>
              <w:t>52.4</w:t>
            </w:r>
          </w:p>
        </w:tc>
        <w:tc>
          <w:tcPr>
            <w:tcW w:w="671" w:type="dxa"/>
            <w:tcBorders>
              <w:top w:val="nil"/>
              <w:left w:val="nil"/>
              <w:bottom w:val="nil"/>
              <w:right w:val="nil"/>
            </w:tcBorders>
            <w:shd w:val="clear" w:color="auto" w:fill="auto"/>
            <w:noWrap/>
            <w:vAlign w:val="center"/>
            <w:hideMark/>
          </w:tcPr>
          <w:p w14:paraId="3D8F9887" w14:textId="77777777" w:rsidR="003D05E8" w:rsidRPr="00CF6051" w:rsidRDefault="003D05E8" w:rsidP="004636F0">
            <w:pPr>
              <w:keepLines w:val="0"/>
              <w:spacing w:after="0"/>
              <w:jc w:val="center"/>
              <w:rPr>
                <w:rFonts w:ascii="Calibri" w:eastAsia="Times New Roman" w:hAnsi="Calibri" w:cs="Calibri"/>
                <w:color w:val="0070C0"/>
                <w:sz w:val="18"/>
                <w:szCs w:val="18"/>
                <w:highlight w:val="yellow"/>
                <w:lang w:eastAsia="en-GB"/>
              </w:rPr>
            </w:pPr>
            <w:r w:rsidRPr="00CF6051">
              <w:rPr>
                <w:rFonts w:ascii="Calibri" w:eastAsia="Times New Roman" w:hAnsi="Calibri" w:cs="Calibri"/>
                <w:color w:val="0070C0"/>
                <w:sz w:val="18"/>
                <w:szCs w:val="18"/>
                <w:highlight w:val="yellow"/>
                <w:lang w:eastAsia="en-GB"/>
              </w:rPr>
              <w:t>48.8</w:t>
            </w:r>
          </w:p>
        </w:tc>
        <w:tc>
          <w:tcPr>
            <w:tcW w:w="671" w:type="dxa"/>
            <w:tcBorders>
              <w:top w:val="nil"/>
              <w:left w:val="nil"/>
              <w:bottom w:val="nil"/>
              <w:right w:val="nil"/>
            </w:tcBorders>
            <w:shd w:val="clear" w:color="auto" w:fill="auto"/>
            <w:noWrap/>
            <w:vAlign w:val="center"/>
            <w:hideMark/>
          </w:tcPr>
          <w:p w14:paraId="48DB4431" w14:textId="77777777" w:rsidR="003D05E8" w:rsidRPr="00CF6051" w:rsidRDefault="003D05E8" w:rsidP="004636F0">
            <w:pPr>
              <w:keepLines w:val="0"/>
              <w:spacing w:after="0"/>
              <w:jc w:val="center"/>
              <w:rPr>
                <w:rFonts w:ascii="Calibri" w:eastAsia="Times New Roman" w:hAnsi="Calibri" w:cs="Calibri"/>
                <w:color w:val="0070C0"/>
                <w:sz w:val="18"/>
                <w:szCs w:val="18"/>
                <w:highlight w:val="yellow"/>
                <w:lang w:eastAsia="en-GB"/>
              </w:rPr>
            </w:pPr>
            <w:r w:rsidRPr="00CF6051">
              <w:rPr>
                <w:rFonts w:ascii="Calibri" w:eastAsia="Times New Roman" w:hAnsi="Calibri" w:cs="Calibri"/>
                <w:color w:val="0070C0"/>
                <w:sz w:val="18"/>
                <w:szCs w:val="18"/>
                <w:highlight w:val="yellow"/>
                <w:lang w:eastAsia="en-GB"/>
              </w:rPr>
              <w:t>44.9</w:t>
            </w:r>
          </w:p>
        </w:tc>
        <w:tc>
          <w:tcPr>
            <w:tcW w:w="671" w:type="dxa"/>
            <w:tcBorders>
              <w:top w:val="nil"/>
              <w:left w:val="nil"/>
              <w:bottom w:val="nil"/>
              <w:right w:val="nil"/>
            </w:tcBorders>
            <w:shd w:val="clear" w:color="auto" w:fill="auto"/>
            <w:noWrap/>
            <w:vAlign w:val="center"/>
            <w:hideMark/>
          </w:tcPr>
          <w:p w14:paraId="1ED3DAC7"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34.0</w:t>
            </w:r>
          </w:p>
        </w:tc>
        <w:tc>
          <w:tcPr>
            <w:tcW w:w="671" w:type="dxa"/>
            <w:tcBorders>
              <w:top w:val="nil"/>
              <w:left w:val="nil"/>
              <w:bottom w:val="nil"/>
              <w:right w:val="nil"/>
            </w:tcBorders>
            <w:shd w:val="clear" w:color="auto" w:fill="auto"/>
            <w:noWrap/>
            <w:vAlign w:val="center"/>
            <w:hideMark/>
          </w:tcPr>
          <w:p w14:paraId="407CC901" w14:textId="77777777" w:rsidR="003D05E8" w:rsidRPr="00CF6051" w:rsidRDefault="003D05E8" w:rsidP="004636F0">
            <w:pPr>
              <w:keepLines w:val="0"/>
              <w:spacing w:after="0"/>
              <w:jc w:val="center"/>
              <w:rPr>
                <w:rFonts w:ascii="Calibri" w:eastAsia="Times New Roman" w:hAnsi="Calibri" w:cs="Calibri"/>
                <w:color w:val="0070C0"/>
                <w:sz w:val="18"/>
                <w:szCs w:val="18"/>
                <w:highlight w:val="yellow"/>
                <w:lang w:eastAsia="en-GB"/>
              </w:rPr>
            </w:pPr>
            <w:r w:rsidRPr="00CF6051">
              <w:rPr>
                <w:rFonts w:ascii="Calibri" w:eastAsia="Times New Roman" w:hAnsi="Calibri" w:cs="Calibri"/>
                <w:color w:val="0070C0"/>
                <w:sz w:val="18"/>
                <w:szCs w:val="18"/>
                <w:highlight w:val="yellow"/>
                <w:lang w:eastAsia="en-GB"/>
              </w:rPr>
              <w:t>41.6</w:t>
            </w:r>
          </w:p>
        </w:tc>
        <w:tc>
          <w:tcPr>
            <w:tcW w:w="671" w:type="dxa"/>
            <w:tcBorders>
              <w:top w:val="nil"/>
              <w:left w:val="nil"/>
              <w:bottom w:val="nil"/>
              <w:right w:val="nil"/>
            </w:tcBorders>
            <w:shd w:val="clear" w:color="auto" w:fill="auto"/>
            <w:noWrap/>
            <w:vAlign w:val="center"/>
            <w:hideMark/>
          </w:tcPr>
          <w:p w14:paraId="0E37F47F" w14:textId="77777777" w:rsidR="003D05E8" w:rsidRPr="00CF6051" w:rsidRDefault="003D05E8" w:rsidP="004636F0">
            <w:pPr>
              <w:keepLines w:val="0"/>
              <w:spacing w:after="0"/>
              <w:jc w:val="center"/>
              <w:rPr>
                <w:rFonts w:ascii="Calibri" w:eastAsia="Times New Roman" w:hAnsi="Calibri" w:cs="Calibri"/>
                <w:color w:val="0070C0"/>
                <w:sz w:val="18"/>
                <w:szCs w:val="18"/>
                <w:highlight w:val="yellow"/>
                <w:lang w:eastAsia="en-GB"/>
              </w:rPr>
            </w:pPr>
            <w:r w:rsidRPr="00CF6051">
              <w:rPr>
                <w:rFonts w:ascii="Calibri" w:eastAsia="Times New Roman" w:hAnsi="Calibri" w:cs="Calibri"/>
                <w:color w:val="0070C0"/>
                <w:sz w:val="18"/>
                <w:szCs w:val="18"/>
                <w:highlight w:val="yellow"/>
                <w:lang w:eastAsia="en-GB"/>
              </w:rPr>
              <w:t>52.2</w:t>
            </w:r>
          </w:p>
        </w:tc>
        <w:tc>
          <w:tcPr>
            <w:tcW w:w="671" w:type="dxa"/>
            <w:tcBorders>
              <w:top w:val="nil"/>
              <w:left w:val="nil"/>
              <w:bottom w:val="nil"/>
              <w:right w:val="nil"/>
            </w:tcBorders>
            <w:shd w:val="clear" w:color="auto" w:fill="auto"/>
            <w:noWrap/>
            <w:vAlign w:val="center"/>
            <w:hideMark/>
          </w:tcPr>
          <w:p w14:paraId="13AB6A68" w14:textId="77777777" w:rsidR="003D05E8" w:rsidRPr="00CF6051" w:rsidRDefault="003D05E8" w:rsidP="004636F0">
            <w:pPr>
              <w:keepLines w:val="0"/>
              <w:spacing w:after="0"/>
              <w:jc w:val="center"/>
              <w:rPr>
                <w:rFonts w:ascii="Calibri" w:eastAsia="Times New Roman" w:hAnsi="Calibri" w:cs="Calibri"/>
                <w:color w:val="0070C0"/>
                <w:sz w:val="18"/>
                <w:szCs w:val="18"/>
                <w:highlight w:val="yellow"/>
                <w:lang w:eastAsia="en-GB"/>
              </w:rPr>
            </w:pPr>
            <w:r w:rsidRPr="00CF6051">
              <w:rPr>
                <w:rFonts w:ascii="Calibri" w:eastAsia="Times New Roman" w:hAnsi="Calibri" w:cs="Calibri"/>
                <w:color w:val="0070C0"/>
                <w:sz w:val="18"/>
                <w:szCs w:val="18"/>
                <w:highlight w:val="yellow"/>
                <w:lang w:eastAsia="en-GB"/>
              </w:rPr>
              <w:t>48.5</w:t>
            </w:r>
          </w:p>
        </w:tc>
        <w:tc>
          <w:tcPr>
            <w:tcW w:w="671" w:type="dxa"/>
            <w:tcBorders>
              <w:top w:val="nil"/>
              <w:left w:val="nil"/>
              <w:bottom w:val="nil"/>
              <w:right w:val="nil"/>
            </w:tcBorders>
            <w:shd w:val="clear" w:color="auto" w:fill="auto"/>
            <w:noWrap/>
            <w:vAlign w:val="center"/>
            <w:hideMark/>
          </w:tcPr>
          <w:p w14:paraId="321DC916" w14:textId="77777777" w:rsidR="003D05E8" w:rsidRPr="00CF6051" w:rsidRDefault="003D05E8" w:rsidP="004636F0">
            <w:pPr>
              <w:keepLines w:val="0"/>
              <w:spacing w:after="0"/>
              <w:jc w:val="center"/>
              <w:rPr>
                <w:rFonts w:ascii="Calibri" w:eastAsia="Times New Roman" w:hAnsi="Calibri" w:cs="Calibri"/>
                <w:color w:val="0070C0"/>
                <w:sz w:val="18"/>
                <w:szCs w:val="18"/>
                <w:highlight w:val="yellow"/>
                <w:lang w:eastAsia="en-GB"/>
              </w:rPr>
            </w:pPr>
            <w:r w:rsidRPr="00CF6051">
              <w:rPr>
                <w:rFonts w:ascii="Calibri" w:eastAsia="Times New Roman" w:hAnsi="Calibri" w:cs="Calibri"/>
                <w:color w:val="0070C0"/>
                <w:sz w:val="18"/>
                <w:szCs w:val="18"/>
                <w:highlight w:val="yellow"/>
                <w:lang w:eastAsia="en-GB"/>
              </w:rPr>
              <w:t>54.3</w:t>
            </w:r>
          </w:p>
        </w:tc>
        <w:tc>
          <w:tcPr>
            <w:tcW w:w="671" w:type="dxa"/>
            <w:tcBorders>
              <w:top w:val="nil"/>
              <w:left w:val="nil"/>
              <w:bottom w:val="nil"/>
              <w:right w:val="nil"/>
            </w:tcBorders>
            <w:shd w:val="clear" w:color="auto" w:fill="auto"/>
            <w:noWrap/>
            <w:vAlign w:val="center"/>
            <w:hideMark/>
          </w:tcPr>
          <w:p w14:paraId="3BB81866" w14:textId="77777777" w:rsidR="003D05E8" w:rsidRPr="00CF6051" w:rsidRDefault="003D05E8" w:rsidP="004636F0">
            <w:pPr>
              <w:keepLines w:val="0"/>
              <w:spacing w:after="0"/>
              <w:jc w:val="center"/>
              <w:rPr>
                <w:rFonts w:ascii="Calibri" w:eastAsia="Times New Roman" w:hAnsi="Calibri" w:cs="Calibri"/>
                <w:color w:val="0070C0"/>
                <w:sz w:val="18"/>
                <w:szCs w:val="18"/>
                <w:highlight w:val="yellow"/>
                <w:lang w:eastAsia="en-GB"/>
              </w:rPr>
            </w:pPr>
            <w:r w:rsidRPr="00CF6051">
              <w:rPr>
                <w:rFonts w:ascii="Calibri" w:eastAsia="Times New Roman" w:hAnsi="Calibri" w:cs="Calibri"/>
                <w:color w:val="0070C0"/>
                <w:sz w:val="18"/>
                <w:szCs w:val="18"/>
                <w:highlight w:val="yellow"/>
                <w:lang w:eastAsia="en-GB"/>
              </w:rPr>
              <w:t>64.5</w:t>
            </w:r>
          </w:p>
        </w:tc>
      </w:tr>
      <w:tr w:rsidR="003D05E8" w:rsidRPr="00EF6C6D" w14:paraId="44FF36B0" w14:textId="77777777" w:rsidTr="004636F0">
        <w:trPr>
          <w:trHeight w:val="402"/>
        </w:trPr>
        <w:tc>
          <w:tcPr>
            <w:tcW w:w="2015" w:type="dxa"/>
            <w:tcBorders>
              <w:top w:val="nil"/>
              <w:left w:val="nil"/>
              <w:bottom w:val="nil"/>
              <w:right w:val="nil"/>
            </w:tcBorders>
            <w:shd w:val="clear" w:color="auto" w:fill="auto"/>
            <w:noWrap/>
            <w:vAlign w:val="center"/>
          </w:tcPr>
          <w:p w14:paraId="574EAE02" w14:textId="77777777" w:rsidR="003D05E8" w:rsidRPr="00EF6C6D" w:rsidRDefault="003D05E8" w:rsidP="004636F0">
            <w:pPr>
              <w:keepLines w:val="0"/>
              <w:spacing w:after="0"/>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Town Centre</w:t>
            </w:r>
          </w:p>
        </w:tc>
        <w:tc>
          <w:tcPr>
            <w:tcW w:w="671" w:type="dxa"/>
            <w:tcBorders>
              <w:top w:val="nil"/>
              <w:left w:val="nil"/>
              <w:bottom w:val="nil"/>
              <w:right w:val="nil"/>
            </w:tcBorders>
            <w:shd w:val="clear" w:color="auto" w:fill="auto"/>
            <w:noWrap/>
            <w:vAlign w:val="center"/>
          </w:tcPr>
          <w:p w14:paraId="007667E2" w14:textId="77777777" w:rsidR="003D05E8" w:rsidRPr="00EF6C6D" w:rsidRDefault="003D05E8" w:rsidP="004636F0">
            <w:pPr>
              <w:keepLines w:val="0"/>
              <w:spacing w:after="0"/>
              <w:jc w:val="center"/>
              <w:rPr>
                <w:rFonts w:ascii="Calibri" w:eastAsia="Times New Roman" w:hAnsi="Calibri" w:cs="Calibri"/>
                <w:color w:val="0070C0"/>
                <w:sz w:val="18"/>
                <w:szCs w:val="18"/>
                <w:highlight w:val="yellow"/>
                <w:lang w:eastAsia="en-GB"/>
              </w:rPr>
            </w:pPr>
            <w:r w:rsidRPr="00EF6C6D">
              <w:rPr>
                <w:rFonts w:ascii="Calibri" w:eastAsia="Times New Roman" w:hAnsi="Calibri" w:cs="Calibri"/>
                <w:color w:val="0070C0"/>
                <w:sz w:val="18"/>
                <w:szCs w:val="18"/>
                <w:highlight w:val="yellow"/>
                <w:lang w:eastAsia="en-GB"/>
              </w:rPr>
              <w:t>59.7</w:t>
            </w:r>
          </w:p>
        </w:tc>
        <w:tc>
          <w:tcPr>
            <w:tcW w:w="671" w:type="dxa"/>
            <w:tcBorders>
              <w:top w:val="nil"/>
              <w:left w:val="nil"/>
              <w:bottom w:val="nil"/>
              <w:right w:val="nil"/>
            </w:tcBorders>
            <w:shd w:val="clear" w:color="auto" w:fill="auto"/>
            <w:noWrap/>
            <w:vAlign w:val="center"/>
          </w:tcPr>
          <w:p w14:paraId="597C04D1" w14:textId="77777777" w:rsidR="003D05E8" w:rsidRPr="00EF6C6D" w:rsidRDefault="003D05E8" w:rsidP="004636F0">
            <w:pPr>
              <w:keepLines w:val="0"/>
              <w:spacing w:after="0"/>
              <w:jc w:val="center"/>
              <w:rPr>
                <w:rFonts w:ascii="Calibri" w:eastAsia="Times New Roman" w:hAnsi="Calibri" w:cs="Calibri"/>
                <w:color w:val="0070C0"/>
                <w:sz w:val="18"/>
                <w:szCs w:val="18"/>
                <w:highlight w:val="yellow"/>
                <w:lang w:eastAsia="en-GB"/>
              </w:rPr>
            </w:pPr>
            <w:r w:rsidRPr="00EF6C6D">
              <w:rPr>
                <w:rFonts w:ascii="Calibri" w:eastAsia="Times New Roman" w:hAnsi="Calibri" w:cs="Calibri"/>
                <w:color w:val="0070C0"/>
                <w:sz w:val="18"/>
                <w:szCs w:val="18"/>
                <w:highlight w:val="yellow"/>
                <w:lang w:eastAsia="en-GB"/>
              </w:rPr>
              <w:t>51.6</w:t>
            </w:r>
          </w:p>
        </w:tc>
        <w:tc>
          <w:tcPr>
            <w:tcW w:w="671" w:type="dxa"/>
            <w:tcBorders>
              <w:top w:val="nil"/>
              <w:left w:val="nil"/>
              <w:bottom w:val="nil"/>
              <w:right w:val="nil"/>
            </w:tcBorders>
            <w:shd w:val="clear" w:color="auto" w:fill="auto"/>
            <w:noWrap/>
            <w:vAlign w:val="center"/>
          </w:tcPr>
          <w:p w14:paraId="05D1BD37" w14:textId="77777777" w:rsidR="003D05E8" w:rsidRPr="00EF6C6D" w:rsidRDefault="003D05E8" w:rsidP="004636F0">
            <w:pPr>
              <w:keepLines w:val="0"/>
              <w:spacing w:after="0"/>
              <w:jc w:val="center"/>
              <w:rPr>
                <w:rFonts w:ascii="Calibri" w:eastAsia="Times New Roman" w:hAnsi="Calibri" w:cs="Calibri"/>
                <w:color w:val="0070C0"/>
                <w:sz w:val="18"/>
                <w:szCs w:val="18"/>
                <w:highlight w:val="yellow"/>
                <w:lang w:eastAsia="en-GB"/>
              </w:rPr>
            </w:pPr>
            <w:r w:rsidRPr="00EF6C6D">
              <w:rPr>
                <w:rFonts w:ascii="Calibri" w:eastAsia="Times New Roman" w:hAnsi="Calibri" w:cs="Calibri"/>
                <w:color w:val="0070C0"/>
                <w:sz w:val="18"/>
                <w:szCs w:val="18"/>
                <w:highlight w:val="yellow"/>
                <w:lang w:eastAsia="en-GB"/>
              </w:rPr>
              <w:t>53.0</w:t>
            </w:r>
          </w:p>
        </w:tc>
        <w:tc>
          <w:tcPr>
            <w:tcW w:w="671" w:type="dxa"/>
            <w:tcBorders>
              <w:top w:val="nil"/>
              <w:left w:val="nil"/>
              <w:bottom w:val="nil"/>
              <w:right w:val="nil"/>
            </w:tcBorders>
            <w:shd w:val="clear" w:color="auto" w:fill="auto"/>
            <w:noWrap/>
            <w:vAlign w:val="center"/>
          </w:tcPr>
          <w:p w14:paraId="5A54AC83" w14:textId="77777777" w:rsidR="003D05E8" w:rsidRPr="00EF6C6D" w:rsidRDefault="003D05E8" w:rsidP="004636F0">
            <w:pPr>
              <w:keepLines w:val="0"/>
              <w:spacing w:after="0"/>
              <w:jc w:val="center"/>
              <w:rPr>
                <w:rFonts w:ascii="Calibri" w:eastAsia="Times New Roman" w:hAnsi="Calibri" w:cs="Calibri"/>
                <w:color w:val="0070C0"/>
                <w:sz w:val="18"/>
                <w:szCs w:val="18"/>
                <w:highlight w:val="yellow"/>
                <w:lang w:eastAsia="en-GB"/>
              </w:rPr>
            </w:pPr>
            <w:r w:rsidRPr="00EF6C6D">
              <w:rPr>
                <w:rFonts w:ascii="Calibri" w:eastAsia="Times New Roman" w:hAnsi="Calibri" w:cs="Calibri"/>
                <w:color w:val="0070C0"/>
                <w:sz w:val="18"/>
                <w:szCs w:val="18"/>
                <w:highlight w:val="yellow"/>
                <w:lang w:eastAsia="en-GB"/>
              </w:rPr>
              <w:t>47.5</w:t>
            </w:r>
          </w:p>
        </w:tc>
        <w:tc>
          <w:tcPr>
            <w:tcW w:w="671" w:type="dxa"/>
            <w:tcBorders>
              <w:top w:val="nil"/>
              <w:left w:val="nil"/>
              <w:bottom w:val="nil"/>
              <w:right w:val="nil"/>
            </w:tcBorders>
            <w:shd w:val="clear" w:color="auto" w:fill="auto"/>
            <w:noWrap/>
            <w:vAlign w:val="center"/>
          </w:tcPr>
          <w:p w14:paraId="7D6B0D01" w14:textId="77777777" w:rsidR="003D05E8" w:rsidRPr="00EF6C6D" w:rsidRDefault="003D05E8" w:rsidP="004636F0">
            <w:pPr>
              <w:keepLines w:val="0"/>
              <w:spacing w:after="0"/>
              <w:jc w:val="center"/>
              <w:rPr>
                <w:rFonts w:ascii="Calibri" w:eastAsia="Times New Roman" w:hAnsi="Calibri" w:cs="Calibri"/>
                <w:color w:val="0070C0"/>
                <w:sz w:val="18"/>
                <w:szCs w:val="18"/>
                <w:highlight w:val="yellow"/>
                <w:lang w:eastAsia="en-GB"/>
              </w:rPr>
            </w:pPr>
            <w:r w:rsidRPr="00EF6C6D">
              <w:rPr>
                <w:rFonts w:ascii="Calibri" w:eastAsia="Times New Roman" w:hAnsi="Calibri" w:cs="Calibri"/>
                <w:color w:val="0070C0"/>
                <w:sz w:val="18"/>
                <w:szCs w:val="18"/>
                <w:highlight w:val="yellow"/>
                <w:lang w:eastAsia="en-GB"/>
              </w:rPr>
              <w:t>49.5</w:t>
            </w:r>
          </w:p>
        </w:tc>
        <w:tc>
          <w:tcPr>
            <w:tcW w:w="671" w:type="dxa"/>
            <w:tcBorders>
              <w:top w:val="nil"/>
              <w:left w:val="nil"/>
              <w:bottom w:val="nil"/>
              <w:right w:val="nil"/>
            </w:tcBorders>
            <w:shd w:val="clear" w:color="auto" w:fill="auto"/>
            <w:noWrap/>
            <w:vAlign w:val="center"/>
          </w:tcPr>
          <w:p w14:paraId="0EDEE364" w14:textId="77777777" w:rsidR="003D05E8" w:rsidRPr="00EF6C6D" w:rsidRDefault="003D05E8" w:rsidP="004636F0">
            <w:pPr>
              <w:keepLines w:val="0"/>
              <w:spacing w:after="0"/>
              <w:jc w:val="center"/>
              <w:rPr>
                <w:rFonts w:ascii="Calibri" w:eastAsia="Times New Roman" w:hAnsi="Calibri" w:cs="Calibri"/>
                <w:color w:val="0070C0"/>
                <w:sz w:val="18"/>
                <w:szCs w:val="18"/>
                <w:highlight w:val="yellow"/>
                <w:lang w:eastAsia="en-GB"/>
              </w:rPr>
            </w:pPr>
            <w:r w:rsidRPr="00EF6C6D">
              <w:rPr>
                <w:rFonts w:ascii="Calibri" w:eastAsia="Times New Roman" w:hAnsi="Calibri" w:cs="Calibri"/>
                <w:color w:val="0070C0"/>
                <w:sz w:val="18"/>
                <w:szCs w:val="18"/>
                <w:highlight w:val="yellow"/>
                <w:lang w:eastAsia="en-GB"/>
              </w:rPr>
              <w:t>45.2</w:t>
            </w:r>
          </w:p>
        </w:tc>
        <w:tc>
          <w:tcPr>
            <w:tcW w:w="671" w:type="dxa"/>
            <w:tcBorders>
              <w:top w:val="nil"/>
              <w:left w:val="nil"/>
              <w:bottom w:val="nil"/>
              <w:right w:val="nil"/>
            </w:tcBorders>
            <w:shd w:val="clear" w:color="auto" w:fill="auto"/>
            <w:noWrap/>
            <w:vAlign w:val="center"/>
          </w:tcPr>
          <w:p w14:paraId="17C628E8"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33.4</w:t>
            </w:r>
          </w:p>
        </w:tc>
        <w:tc>
          <w:tcPr>
            <w:tcW w:w="671" w:type="dxa"/>
            <w:tcBorders>
              <w:top w:val="nil"/>
              <w:left w:val="nil"/>
              <w:bottom w:val="nil"/>
              <w:right w:val="nil"/>
            </w:tcBorders>
            <w:shd w:val="clear" w:color="auto" w:fill="auto"/>
            <w:noWrap/>
            <w:vAlign w:val="center"/>
          </w:tcPr>
          <w:p w14:paraId="281BFAE3"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35.7</w:t>
            </w:r>
          </w:p>
        </w:tc>
        <w:tc>
          <w:tcPr>
            <w:tcW w:w="671" w:type="dxa"/>
            <w:tcBorders>
              <w:top w:val="nil"/>
              <w:left w:val="nil"/>
              <w:bottom w:val="nil"/>
              <w:right w:val="nil"/>
            </w:tcBorders>
            <w:shd w:val="clear" w:color="auto" w:fill="auto"/>
            <w:noWrap/>
            <w:vAlign w:val="center"/>
          </w:tcPr>
          <w:p w14:paraId="5474AF8E" w14:textId="77777777" w:rsidR="003D05E8" w:rsidRPr="00EF6C6D" w:rsidRDefault="003D05E8" w:rsidP="004636F0">
            <w:pPr>
              <w:keepLines w:val="0"/>
              <w:spacing w:after="0"/>
              <w:jc w:val="center"/>
              <w:rPr>
                <w:rFonts w:ascii="Calibri" w:eastAsia="Times New Roman" w:hAnsi="Calibri" w:cs="Calibri"/>
                <w:color w:val="0070C0"/>
                <w:sz w:val="18"/>
                <w:szCs w:val="18"/>
                <w:highlight w:val="yellow"/>
                <w:lang w:eastAsia="en-GB"/>
              </w:rPr>
            </w:pPr>
            <w:r w:rsidRPr="00EF6C6D">
              <w:rPr>
                <w:rFonts w:ascii="Calibri" w:eastAsia="Times New Roman" w:hAnsi="Calibri" w:cs="Calibri"/>
                <w:color w:val="0070C0"/>
                <w:sz w:val="18"/>
                <w:szCs w:val="18"/>
                <w:highlight w:val="yellow"/>
                <w:lang w:eastAsia="en-GB"/>
              </w:rPr>
              <w:t>44.8</w:t>
            </w:r>
          </w:p>
        </w:tc>
        <w:tc>
          <w:tcPr>
            <w:tcW w:w="671" w:type="dxa"/>
            <w:tcBorders>
              <w:top w:val="nil"/>
              <w:left w:val="nil"/>
              <w:bottom w:val="nil"/>
              <w:right w:val="nil"/>
            </w:tcBorders>
            <w:shd w:val="clear" w:color="auto" w:fill="auto"/>
            <w:noWrap/>
            <w:vAlign w:val="center"/>
          </w:tcPr>
          <w:p w14:paraId="1B7FB34E" w14:textId="77777777" w:rsidR="003D05E8" w:rsidRPr="00EF6C6D" w:rsidRDefault="003D05E8" w:rsidP="004636F0">
            <w:pPr>
              <w:keepLines w:val="0"/>
              <w:spacing w:after="0"/>
              <w:jc w:val="center"/>
              <w:rPr>
                <w:rFonts w:ascii="Calibri" w:eastAsia="Times New Roman" w:hAnsi="Calibri" w:cs="Calibri"/>
                <w:color w:val="0070C0"/>
                <w:sz w:val="18"/>
                <w:szCs w:val="18"/>
                <w:highlight w:val="yellow"/>
                <w:lang w:eastAsia="en-GB"/>
              </w:rPr>
            </w:pPr>
            <w:r w:rsidRPr="00EF6C6D">
              <w:rPr>
                <w:rFonts w:ascii="Calibri" w:eastAsia="Times New Roman" w:hAnsi="Calibri" w:cs="Calibri"/>
                <w:color w:val="0070C0"/>
                <w:sz w:val="18"/>
                <w:szCs w:val="18"/>
                <w:highlight w:val="yellow"/>
                <w:lang w:eastAsia="en-GB"/>
              </w:rPr>
              <w:t>43.4</w:t>
            </w:r>
          </w:p>
        </w:tc>
        <w:tc>
          <w:tcPr>
            <w:tcW w:w="671" w:type="dxa"/>
            <w:tcBorders>
              <w:top w:val="nil"/>
              <w:left w:val="nil"/>
              <w:bottom w:val="nil"/>
              <w:right w:val="nil"/>
            </w:tcBorders>
            <w:shd w:val="clear" w:color="auto" w:fill="auto"/>
            <w:noWrap/>
            <w:vAlign w:val="center"/>
          </w:tcPr>
          <w:p w14:paraId="0D0E6D36" w14:textId="77777777" w:rsidR="003D05E8" w:rsidRPr="00EF6C6D" w:rsidRDefault="003D05E8" w:rsidP="004636F0">
            <w:pPr>
              <w:keepLines w:val="0"/>
              <w:spacing w:after="0"/>
              <w:jc w:val="center"/>
              <w:rPr>
                <w:rFonts w:ascii="Calibri" w:eastAsia="Times New Roman" w:hAnsi="Calibri" w:cs="Calibri"/>
                <w:color w:val="0070C0"/>
                <w:sz w:val="18"/>
                <w:szCs w:val="18"/>
                <w:highlight w:val="yellow"/>
                <w:lang w:eastAsia="en-GB"/>
              </w:rPr>
            </w:pPr>
            <w:r w:rsidRPr="00EF6C6D">
              <w:rPr>
                <w:rFonts w:ascii="Calibri" w:eastAsia="Times New Roman" w:hAnsi="Calibri" w:cs="Calibri"/>
                <w:color w:val="0070C0"/>
                <w:sz w:val="18"/>
                <w:szCs w:val="18"/>
                <w:highlight w:val="yellow"/>
                <w:lang w:eastAsia="en-GB"/>
              </w:rPr>
              <w:t>53.7</w:t>
            </w:r>
          </w:p>
        </w:tc>
        <w:tc>
          <w:tcPr>
            <w:tcW w:w="671" w:type="dxa"/>
            <w:tcBorders>
              <w:top w:val="nil"/>
              <w:left w:val="nil"/>
              <w:bottom w:val="nil"/>
              <w:right w:val="nil"/>
            </w:tcBorders>
            <w:shd w:val="clear" w:color="auto" w:fill="auto"/>
            <w:noWrap/>
            <w:vAlign w:val="center"/>
          </w:tcPr>
          <w:p w14:paraId="7D807B18" w14:textId="77777777" w:rsidR="003D05E8" w:rsidRPr="00EF6C6D" w:rsidRDefault="003D05E8" w:rsidP="004636F0">
            <w:pPr>
              <w:keepLines w:val="0"/>
              <w:spacing w:after="0"/>
              <w:jc w:val="center"/>
              <w:rPr>
                <w:rFonts w:ascii="Calibri" w:eastAsia="Times New Roman" w:hAnsi="Calibri" w:cs="Calibri"/>
                <w:color w:val="0070C0"/>
                <w:sz w:val="18"/>
                <w:szCs w:val="18"/>
                <w:highlight w:val="yellow"/>
                <w:lang w:eastAsia="en-GB"/>
              </w:rPr>
            </w:pPr>
            <w:r w:rsidRPr="00EF6C6D">
              <w:rPr>
                <w:rFonts w:ascii="Calibri" w:eastAsia="Times New Roman" w:hAnsi="Calibri" w:cs="Calibri"/>
                <w:color w:val="0070C0"/>
                <w:sz w:val="18"/>
                <w:szCs w:val="18"/>
                <w:highlight w:val="yellow"/>
                <w:lang w:eastAsia="en-GB"/>
              </w:rPr>
              <w:t>53.1</w:t>
            </w:r>
          </w:p>
        </w:tc>
      </w:tr>
      <w:tr w:rsidR="003D05E8" w:rsidRPr="00EF6C6D" w14:paraId="7EE2454E" w14:textId="77777777" w:rsidTr="004636F0">
        <w:trPr>
          <w:trHeight w:val="402"/>
        </w:trPr>
        <w:tc>
          <w:tcPr>
            <w:tcW w:w="2015" w:type="dxa"/>
            <w:tcBorders>
              <w:top w:val="nil"/>
              <w:left w:val="nil"/>
              <w:bottom w:val="nil"/>
              <w:right w:val="nil"/>
            </w:tcBorders>
            <w:shd w:val="clear" w:color="auto" w:fill="auto"/>
            <w:noWrap/>
            <w:vAlign w:val="center"/>
            <w:hideMark/>
          </w:tcPr>
          <w:p w14:paraId="0DE1D83B" w14:textId="77777777" w:rsidR="003D05E8" w:rsidRPr="00EF6C6D" w:rsidRDefault="003D05E8" w:rsidP="004636F0">
            <w:pPr>
              <w:keepLines w:val="0"/>
              <w:spacing w:after="0"/>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Hall Street, Dudley</w:t>
            </w:r>
          </w:p>
        </w:tc>
        <w:tc>
          <w:tcPr>
            <w:tcW w:w="671" w:type="dxa"/>
            <w:tcBorders>
              <w:top w:val="nil"/>
              <w:left w:val="nil"/>
              <w:bottom w:val="nil"/>
              <w:right w:val="nil"/>
            </w:tcBorders>
            <w:shd w:val="clear" w:color="auto" w:fill="auto"/>
            <w:noWrap/>
            <w:vAlign w:val="center"/>
            <w:hideMark/>
          </w:tcPr>
          <w:p w14:paraId="2C30FE31" w14:textId="77777777" w:rsidR="003D05E8" w:rsidRPr="00EF6C6D" w:rsidRDefault="003D05E8" w:rsidP="004636F0">
            <w:pPr>
              <w:keepLines w:val="0"/>
              <w:spacing w:after="0"/>
              <w:jc w:val="center"/>
              <w:rPr>
                <w:rFonts w:ascii="Calibri" w:eastAsia="Times New Roman" w:hAnsi="Calibri" w:cs="Calibri"/>
                <w:color w:val="0070C0"/>
                <w:sz w:val="18"/>
                <w:szCs w:val="18"/>
                <w:highlight w:val="yellow"/>
                <w:lang w:eastAsia="en-GB"/>
              </w:rPr>
            </w:pPr>
            <w:r w:rsidRPr="00EF6C6D">
              <w:rPr>
                <w:rFonts w:ascii="Calibri" w:eastAsia="Times New Roman" w:hAnsi="Calibri" w:cs="Calibri"/>
                <w:color w:val="0070C0"/>
                <w:sz w:val="18"/>
                <w:szCs w:val="18"/>
                <w:highlight w:val="yellow"/>
                <w:lang w:eastAsia="en-GB"/>
              </w:rPr>
              <w:t>66.3</w:t>
            </w:r>
          </w:p>
        </w:tc>
        <w:tc>
          <w:tcPr>
            <w:tcW w:w="671" w:type="dxa"/>
            <w:tcBorders>
              <w:top w:val="nil"/>
              <w:left w:val="nil"/>
              <w:bottom w:val="nil"/>
              <w:right w:val="nil"/>
            </w:tcBorders>
            <w:shd w:val="clear" w:color="auto" w:fill="auto"/>
            <w:noWrap/>
            <w:vAlign w:val="center"/>
            <w:hideMark/>
          </w:tcPr>
          <w:p w14:paraId="6E945E76" w14:textId="77777777" w:rsidR="003D05E8" w:rsidRPr="00EF6C6D" w:rsidRDefault="003D05E8" w:rsidP="004636F0">
            <w:pPr>
              <w:keepLines w:val="0"/>
              <w:spacing w:after="0"/>
              <w:jc w:val="center"/>
              <w:rPr>
                <w:rFonts w:ascii="Calibri" w:eastAsia="Times New Roman" w:hAnsi="Calibri" w:cs="Calibri"/>
                <w:color w:val="0070C0"/>
                <w:sz w:val="18"/>
                <w:szCs w:val="18"/>
                <w:highlight w:val="yellow"/>
                <w:lang w:eastAsia="en-GB"/>
              </w:rPr>
            </w:pPr>
            <w:r w:rsidRPr="00EF6C6D">
              <w:rPr>
                <w:rFonts w:ascii="Calibri" w:eastAsia="Times New Roman" w:hAnsi="Calibri" w:cs="Calibri"/>
                <w:color w:val="0070C0"/>
                <w:sz w:val="18"/>
                <w:szCs w:val="18"/>
                <w:highlight w:val="yellow"/>
                <w:lang w:eastAsia="en-GB"/>
              </w:rPr>
              <w:t>64.3</w:t>
            </w:r>
          </w:p>
        </w:tc>
        <w:tc>
          <w:tcPr>
            <w:tcW w:w="671" w:type="dxa"/>
            <w:tcBorders>
              <w:top w:val="nil"/>
              <w:left w:val="nil"/>
              <w:bottom w:val="nil"/>
              <w:right w:val="nil"/>
            </w:tcBorders>
            <w:shd w:val="clear" w:color="auto" w:fill="auto"/>
            <w:noWrap/>
            <w:vAlign w:val="center"/>
            <w:hideMark/>
          </w:tcPr>
          <w:p w14:paraId="4CF8CBB4" w14:textId="77777777" w:rsidR="003D05E8" w:rsidRPr="00EF6C6D" w:rsidRDefault="003D05E8" w:rsidP="004636F0">
            <w:pPr>
              <w:keepLines w:val="0"/>
              <w:spacing w:after="0"/>
              <w:jc w:val="center"/>
              <w:rPr>
                <w:rFonts w:ascii="Calibri" w:eastAsia="Times New Roman" w:hAnsi="Calibri" w:cs="Calibri"/>
                <w:color w:val="0070C0"/>
                <w:sz w:val="18"/>
                <w:szCs w:val="18"/>
                <w:highlight w:val="yellow"/>
                <w:lang w:eastAsia="en-GB"/>
              </w:rPr>
            </w:pPr>
            <w:r w:rsidRPr="00EF6C6D">
              <w:rPr>
                <w:rFonts w:ascii="Calibri" w:eastAsia="Times New Roman" w:hAnsi="Calibri" w:cs="Calibri"/>
                <w:color w:val="0070C0"/>
                <w:sz w:val="18"/>
                <w:szCs w:val="18"/>
                <w:highlight w:val="yellow"/>
                <w:lang w:eastAsia="en-GB"/>
              </w:rPr>
              <w:t>60.9</w:t>
            </w:r>
          </w:p>
        </w:tc>
        <w:tc>
          <w:tcPr>
            <w:tcW w:w="671" w:type="dxa"/>
            <w:tcBorders>
              <w:top w:val="nil"/>
              <w:left w:val="nil"/>
              <w:bottom w:val="nil"/>
              <w:right w:val="nil"/>
            </w:tcBorders>
            <w:shd w:val="clear" w:color="auto" w:fill="auto"/>
            <w:noWrap/>
            <w:vAlign w:val="center"/>
            <w:hideMark/>
          </w:tcPr>
          <w:p w14:paraId="7FAB9586" w14:textId="77777777" w:rsidR="003D05E8" w:rsidRPr="00EF6C6D" w:rsidRDefault="003D05E8" w:rsidP="004636F0">
            <w:pPr>
              <w:keepLines w:val="0"/>
              <w:spacing w:after="0"/>
              <w:jc w:val="center"/>
              <w:rPr>
                <w:rFonts w:ascii="Calibri" w:eastAsia="Times New Roman" w:hAnsi="Calibri" w:cs="Calibri"/>
                <w:color w:val="0070C0"/>
                <w:sz w:val="18"/>
                <w:szCs w:val="18"/>
                <w:highlight w:val="yellow"/>
                <w:lang w:eastAsia="en-GB"/>
              </w:rPr>
            </w:pPr>
            <w:r w:rsidRPr="00EF6C6D">
              <w:rPr>
                <w:rFonts w:ascii="Calibri" w:eastAsia="Times New Roman" w:hAnsi="Calibri" w:cs="Calibri"/>
                <w:color w:val="0070C0"/>
                <w:sz w:val="18"/>
                <w:szCs w:val="18"/>
                <w:highlight w:val="yellow"/>
                <w:lang w:eastAsia="en-GB"/>
              </w:rPr>
              <w:t>49.1</w:t>
            </w:r>
          </w:p>
        </w:tc>
        <w:tc>
          <w:tcPr>
            <w:tcW w:w="671" w:type="dxa"/>
            <w:tcBorders>
              <w:top w:val="nil"/>
              <w:left w:val="nil"/>
              <w:bottom w:val="nil"/>
              <w:right w:val="nil"/>
            </w:tcBorders>
            <w:shd w:val="clear" w:color="auto" w:fill="auto"/>
            <w:noWrap/>
            <w:vAlign w:val="center"/>
            <w:hideMark/>
          </w:tcPr>
          <w:p w14:paraId="74942D6A" w14:textId="77777777" w:rsidR="003D05E8" w:rsidRPr="00EF6C6D" w:rsidRDefault="003D05E8" w:rsidP="004636F0">
            <w:pPr>
              <w:keepLines w:val="0"/>
              <w:spacing w:after="0"/>
              <w:jc w:val="center"/>
              <w:rPr>
                <w:rFonts w:ascii="Calibri" w:eastAsia="Times New Roman" w:hAnsi="Calibri" w:cs="Calibri"/>
                <w:color w:val="0070C0"/>
                <w:sz w:val="18"/>
                <w:szCs w:val="18"/>
                <w:highlight w:val="yellow"/>
                <w:lang w:eastAsia="en-GB"/>
              </w:rPr>
            </w:pPr>
            <w:r w:rsidRPr="00EF6C6D">
              <w:rPr>
                <w:rFonts w:ascii="Calibri" w:eastAsia="Times New Roman" w:hAnsi="Calibri" w:cs="Calibri"/>
                <w:color w:val="0070C0"/>
                <w:sz w:val="18"/>
                <w:szCs w:val="18"/>
                <w:highlight w:val="yellow"/>
                <w:lang w:eastAsia="en-GB"/>
              </w:rPr>
              <w:t>43.8</w:t>
            </w:r>
          </w:p>
        </w:tc>
        <w:tc>
          <w:tcPr>
            <w:tcW w:w="671" w:type="dxa"/>
            <w:tcBorders>
              <w:top w:val="nil"/>
              <w:left w:val="nil"/>
              <w:bottom w:val="nil"/>
              <w:right w:val="nil"/>
            </w:tcBorders>
            <w:shd w:val="clear" w:color="auto" w:fill="auto"/>
            <w:noWrap/>
            <w:vAlign w:val="center"/>
            <w:hideMark/>
          </w:tcPr>
          <w:p w14:paraId="739F1F89" w14:textId="77777777" w:rsidR="003D05E8" w:rsidRPr="00EF6C6D" w:rsidRDefault="003D05E8" w:rsidP="004636F0">
            <w:pPr>
              <w:keepLines w:val="0"/>
              <w:spacing w:after="0"/>
              <w:jc w:val="center"/>
              <w:rPr>
                <w:rFonts w:ascii="Calibri" w:eastAsia="Times New Roman" w:hAnsi="Calibri" w:cs="Calibri"/>
                <w:color w:val="0070C0"/>
                <w:sz w:val="18"/>
                <w:szCs w:val="18"/>
                <w:highlight w:val="yellow"/>
                <w:lang w:eastAsia="en-GB"/>
              </w:rPr>
            </w:pPr>
            <w:r w:rsidRPr="00EF6C6D">
              <w:rPr>
                <w:rFonts w:ascii="Calibri" w:eastAsia="Times New Roman" w:hAnsi="Calibri" w:cs="Calibri"/>
                <w:color w:val="0070C0"/>
                <w:sz w:val="18"/>
                <w:szCs w:val="18"/>
                <w:highlight w:val="yellow"/>
                <w:lang w:eastAsia="en-GB"/>
              </w:rPr>
              <w:t>42.7</w:t>
            </w:r>
          </w:p>
        </w:tc>
        <w:tc>
          <w:tcPr>
            <w:tcW w:w="671" w:type="dxa"/>
            <w:tcBorders>
              <w:top w:val="nil"/>
              <w:left w:val="nil"/>
              <w:bottom w:val="nil"/>
              <w:right w:val="nil"/>
            </w:tcBorders>
            <w:shd w:val="clear" w:color="auto" w:fill="auto"/>
            <w:noWrap/>
            <w:vAlign w:val="center"/>
            <w:hideMark/>
          </w:tcPr>
          <w:p w14:paraId="3A89B77E"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29.4</w:t>
            </w:r>
          </w:p>
        </w:tc>
        <w:tc>
          <w:tcPr>
            <w:tcW w:w="671" w:type="dxa"/>
            <w:tcBorders>
              <w:top w:val="nil"/>
              <w:left w:val="nil"/>
              <w:bottom w:val="nil"/>
              <w:right w:val="nil"/>
            </w:tcBorders>
            <w:shd w:val="clear" w:color="auto" w:fill="auto"/>
            <w:noWrap/>
            <w:vAlign w:val="center"/>
            <w:hideMark/>
          </w:tcPr>
          <w:p w14:paraId="505125D4"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37.6</w:t>
            </w:r>
          </w:p>
        </w:tc>
        <w:tc>
          <w:tcPr>
            <w:tcW w:w="671" w:type="dxa"/>
            <w:tcBorders>
              <w:top w:val="nil"/>
              <w:left w:val="nil"/>
              <w:bottom w:val="nil"/>
              <w:right w:val="nil"/>
            </w:tcBorders>
            <w:shd w:val="clear" w:color="auto" w:fill="auto"/>
            <w:noWrap/>
            <w:vAlign w:val="center"/>
            <w:hideMark/>
          </w:tcPr>
          <w:p w14:paraId="542513AD" w14:textId="77777777" w:rsidR="003D05E8" w:rsidRPr="00EF6C6D" w:rsidRDefault="003D05E8" w:rsidP="004636F0">
            <w:pPr>
              <w:keepLines w:val="0"/>
              <w:spacing w:after="0"/>
              <w:jc w:val="center"/>
              <w:rPr>
                <w:rFonts w:ascii="Calibri" w:eastAsia="Times New Roman" w:hAnsi="Calibri" w:cs="Calibri"/>
                <w:color w:val="0070C0"/>
                <w:sz w:val="18"/>
                <w:szCs w:val="18"/>
                <w:highlight w:val="yellow"/>
                <w:lang w:eastAsia="en-GB"/>
              </w:rPr>
            </w:pPr>
            <w:r w:rsidRPr="00EF6C6D">
              <w:rPr>
                <w:rFonts w:ascii="Calibri" w:eastAsia="Times New Roman" w:hAnsi="Calibri" w:cs="Calibri"/>
                <w:color w:val="0070C0"/>
                <w:sz w:val="18"/>
                <w:szCs w:val="18"/>
                <w:highlight w:val="yellow"/>
                <w:lang w:eastAsia="en-GB"/>
              </w:rPr>
              <w:t>44.3</w:t>
            </w:r>
          </w:p>
        </w:tc>
        <w:tc>
          <w:tcPr>
            <w:tcW w:w="671" w:type="dxa"/>
            <w:tcBorders>
              <w:top w:val="nil"/>
              <w:left w:val="nil"/>
              <w:bottom w:val="nil"/>
              <w:right w:val="nil"/>
            </w:tcBorders>
            <w:shd w:val="clear" w:color="auto" w:fill="auto"/>
            <w:noWrap/>
            <w:vAlign w:val="center"/>
            <w:hideMark/>
          </w:tcPr>
          <w:p w14:paraId="2D70AFA3" w14:textId="77777777" w:rsidR="003D05E8" w:rsidRPr="00EF6C6D" w:rsidRDefault="003D05E8" w:rsidP="004636F0">
            <w:pPr>
              <w:keepLines w:val="0"/>
              <w:spacing w:after="0"/>
              <w:jc w:val="center"/>
              <w:rPr>
                <w:rFonts w:ascii="Calibri" w:eastAsia="Times New Roman" w:hAnsi="Calibri" w:cs="Calibri"/>
                <w:color w:val="0070C0"/>
                <w:sz w:val="18"/>
                <w:szCs w:val="18"/>
                <w:highlight w:val="yellow"/>
                <w:lang w:eastAsia="en-GB"/>
              </w:rPr>
            </w:pPr>
            <w:r w:rsidRPr="00EF6C6D">
              <w:rPr>
                <w:rFonts w:ascii="Calibri" w:eastAsia="Times New Roman" w:hAnsi="Calibri" w:cs="Calibri"/>
                <w:color w:val="0070C0"/>
                <w:sz w:val="18"/>
                <w:szCs w:val="18"/>
                <w:highlight w:val="yellow"/>
                <w:lang w:eastAsia="en-GB"/>
              </w:rPr>
              <w:t>42.7</w:t>
            </w:r>
          </w:p>
        </w:tc>
        <w:tc>
          <w:tcPr>
            <w:tcW w:w="671" w:type="dxa"/>
            <w:tcBorders>
              <w:top w:val="nil"/>
              <w:left w:val="nil"/>
              <w:bottom w:val="nil"/>
              <w:right w:val="nil"/>
            </w:tcBorders>
            <w:shd w:val="clear" w:color="auto" w:fill="auto"/>
            <w:noWrap/>
            <w:vAlign w:val="center"/>
            <w:hideMark/>
          </w:tcPr>
          <w:p w14:paraId="570EC73F" w14:textId="77777777" w:rsidR="003D05E8" w:rsidRPr="00EF6C6D" w:rsidRDefault="003D05E8" w:rsidP="004636F0">
            <w:pPr>
              <w:keepLines w:val="0"/>
              <w:spacing w:after="0"/>
              <w:jc w:val="center"/>
              <w:rPr>
                <w:rFonts w:ascii="Calibri" w:eastAsia="Times New Roman" w:hAnsi="Calibri" w:cs="Calibri"/>
                <w:color w:val="0070C0"/>
                <w:sz w:val="18"/>
                <w:szCs w:val="18"/>
                <w:highlight w:val="yellow"/>
                <w:lang w:eastAsia="en-GB"/>
              </w:rPr>
            </w:pPr>
            <w:r w:rsidRPr="00EF6C6D">
              <w:rPr>
                <w:rFonts w:ascii="Calibri" w:eastAsia="Times New Roman" w:hAnsi="Calibri" w:cs="Calibri"/>
                <w:color w:val="0070C0"/>
                <w:sz w:val="18"/>
                <w:szCs w:val="18"/>
                <w:highlight w:val="yellow"/>
                <w:lang w:eastAsia="en-GB"/>
              </w:rPr>
              <w:t>47.7</w:t>
            </w:r>
          </w:p>
        </w:tc>
        <w:tc>
          <w:tcPr>
            <w:tcW w:w="671" w:type="dxa"/>
            <w:tcBorders>
              <w:top w:val="nil"/>
              <w:left w:val="nil"/>
              <w:bottom w:val="nil"/>
              <w:right w:val="nil"/>
            </w:tcBorders>
            <w:shd w:val="clear" w:color="auto" w:fill="auto"/>
            <w:noWrap/>
            <w:vAlign w:val="center"/>
            <w:hideMark/>
          </w:tcPr>
          <w:p w14:paraId="6CFE9D37" w14:textId="77777777" w:rsidR="003D05E8" w:rsidRPr="00EF6C6D" w:rsidRDefault="003D05E8" w:rsidP="004636F0">
            <w:pPr>
              <w:keepLines w:val="0"/>
              <w:spacing w:after="0"/>
              <w:jc w:val="center"/>
              <w:rPr>
                <w:rFonts w:ascii="Calibri" w:eastAsia="Times New Roman" w:hAnsi="Calibri" w:cs="Calibri"/>
                <w:color w:val="0070C0"/>
                <w:sz w:val="18"/>
                <w:szCs w:val="18"/>
                <w:highlight w:val="yellow"/>
                <w:lang w:eastAsia="en-GB"/>
              </w:rPr>
            </w:pPr>
            <w:r w:rsidRPr="00EF6C6D">
              <w:rPr>
                <w:rFonts w:ascii="Calibri" w:eastAsia="Times New Roman" w:hAnsi="Calibri" w:cs="Calibri"/>
                <w:color w:val="0070C0"/>
                <w:sz w:val="18"/>
                <w:szCs w:val="18"/>
                <w:highlight w:val="yellow"/>
                <w:lang w:eastAsia="en-GB"/>
              </w:rPr>
              <w:t>59.4</w:t>
            </w:r>
          </w:p>
        </w:tc>
      </w:tr>
      <w:tr w:rsidR="003D05E8" w:rsidRPr="00EF6C6D" w14:paraId="4265D2D5" w14:textId="77777777" w:rsidTr="004636F0">
        <w:trPr>
          <w:trHeight w:val="402"/>
        </w:trPr>
        <w:tc>
          <w:tcPr>
            <w:tcW w:w="2015" w:type="dxa"/>
            <w:tcBorders>
              <w:top w:val="nil"/>
              <w:left w:val="nil"/>
              <w:bottom w:val="nil"/>
              <w:right w:val="nil"/>
            </w:tcBorders>
            <w:shd w:val="clear" w:color="auto" w:fill="auto"/>
            <w:noWrap/>
            <w:vAlign w:val="center"/>
            <w:hideMark/>
          </w:tcPr>
          <w:p w14:paraId="4989CB21" w14:textId="77777777" w:rsidR="003D05E8" w:rsidRPr="00EF6C6D" w:rsidRDefault="003D05E8" w:rsidP="004636F0">
            <w:pPr>
              <w:keepLines w:val="0"/>
              <w:spacing w:after="0"/>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Northfield Rd Primary</w:t>
            </w:r>
          </w:p>
        </w:tc>
        <w:tc>
          <w:tcPr>
            <w:tcW w:w="671" w:type="dxa"/>
            <w:tcBorders>
              <w:top w:val="nil"/>
              <w:left w:val="nil"/>
              <w:bottom w:val="nil"/>
              <w:right w:val="nil"/>
            </w:tcBorders>
            <w:shd w:val="clear" w:color="auto" w:fill="auto"/>
            <w:noWrap/>
            <w:vAlign w:val="center"/>
            <w:hideMark/>
          </w:tcPr>
          <w:p w14:paraId="46428C53"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38.33</w:t>
            </w:r>
          </w:p>
        </w:tc>
        <w:tc>
          <w:tcPr>
            <w:tcW w:w="671" w:type="dxa"/>
            <w:tcBorders>
              <w:top w:val="nil"/>
              <w:left w:val="nil"/>
              <w:bottom w:val="nil"/>
              <w:right w:val="nil"/>
            </w:tcBorders>
            <w:shd w:val="clear" w:color="auto" w:fill="auto"/>
            <w:noWrap/>
            <w:vAlign w:val="center"/>
            <w:hideMark/>
          </w:tcPr>
          <w:p w14:paraId="020E361B"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37.70</w:t>
            </w:r>
          </w:p>
        </w:tc>
        <w:tc>
          <w:tcPr>
            <w:tcW w:w="671" w:type="dxa"/>
            <w:tcBorders>
              <w:top w:val="nil"/>
              <w:left w:val="nil"/>
              <w:bottom w:val="nil"/>
              <w:right w:val="nil"/>
            </w:tcBorders>
            <w:shd w:val="clear" w:color="auto" w:fill="auto"/>
            <w:noWrap/>
            <w:vAlign w:val="center"/>
            <w:hideMark/>
          </w:tcPr>
          <w:p w14:paraId="763E5723"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11.37</w:t>
            </w:r>
          </w:p>
        </w:tc>
        <w:tc>
          <w:tcPr>
            <w:tcW w:w="671" w:type="dxa"/>
            <w:tcBorders>
              <w:top w:val="nil"/>
              <w:left w:val="nil"/>
              <w:bottom w:val="nil"/>
              <w:right w:val="nil"/>
            </w:tcBorders>
            <w:shd w:val="clear" w:color="auto" w:fill="auto"/>
            <w:noWrap/>
            <w:vAlign w:val="center"/>
            <w:hideMark/>
          </w:tcPr>
          <w:p w14:paraId="50A1D5CC"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n/a</w:t>
            </w:r>
          </w:p>
        </w:tc>
        <w:tc>
          <w:tcPr>
            <w:tcW w:w="671" w:type="dxa"/>
            <w:tcBorders>
              <w:top w:val="nil"/>
              <w:left w:val="nil"/>
              <w:bottom w:val="nil"/>
              <w:right w:val="nil"/>
            </w:tcBorders>
            <w:shd w:val="clear" w:color="auto" w:fill="auto"/>
            <w:noWrap/>
            <w:vAlign w:val="center"/>
            <w:hideMark/>
          </w:tcPr>
          <w:p w14:paraId="6B93DC3B"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n/a</w:t>
            </w:r>
          </w:p>
        </w:tc>
        <w:tc>
          <w:tcPr>
            <w:tcW w:w="671" w:type="dxa"/>
            <w:tcBorders>
              <w:top w:val="nil"/>
              <w:left w:val="nil"/>
              <w:bottom w:val="nil"/>
              <w:right w:val="nil"/>
            </w:tcBorders>
            <w:shd w:val="clear" w:color="auto" w:fill="auto"/>
            <w:noWrap/>
            <w:vAlign w:val="center"/>
            <w:hideMark/>
          </w:tcPr>
          <w:p w14:paraId="2274BD92"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16.30</w:t>
            </w:r>
          </w:p>
        </w:tc>
        <w:tc>
          <w:tcPr>
            <w:tcW w:w="671" w:type="dxa"/>
            <w:tcBorders>
              <w:top w:val="nil"/>
              <w:left w:val="nil"/>
              <w:bottom w:val="nil"/>
              <w:right w:val="nil"/>
            </w:tcBorders>
            <w:shd w:val="clear" w:color="auto" w:fill="auto"/>
            <w:noWrap/>
            <w:vAlign w:val="center"/>
            <w:hideMark/>
          </w:tcPr>
          <w:p w14:paraId="73994082"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14.42</w:t>
            </w:r>
          </w:p>
        </w:tc>
        <w:tc>
          <w:tcPr>
            <w:tcW w:w="671" w:type="dxa"/>
            <w:tcBorders>
              <w:top w:val="nil"/>
              <w:left w:val="nil"/>
              <w:bottom w:val="nil"/>
              <w:right w:val="nil"/>
            </w:tcBorders>
            <w:shd w:val="clear" w:color="auto" w:fill="auto"/>
            <w:noWrap/>
            <w:vAlign w:val="center"/>
            <w:hideMark/>
          </w:tcPr>
          <w:p w14:paraId="594CBD73"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16.72</w:t>
            </w:r>
          </w:p>
        </w:tc>
        <w:tc>
          <w:tcPr>
            <w:tcW w:w="671" w:type="dxa"/>
            <w:tcBorders>
              <w:top w:val="nil"/>
              <w:left w:val="nil"/>
              <w:bottom w:val="nil"/>
              <w:right w:val="nil"/>
            </w:tcBorders>
            <w:shd w:val="clear" w:color="auto" w:fill="auto"/>
            <w:noWrap/>
            <w:vAlign w:val="center"/>
            <w:hideMark/>
          </w:tcPr>
          <w:p w14:paraId="700CD94A"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30.10</w:t>
            </w:r>
          </w:p>
        </w:tc>
        <w:tc>
          <w:tcPr>
            <w:tcW w:w="671" w:type="dxa"/>
            <w:tcBorders>
              <w:top w:val="nil"/>
              <w:left w:val="nil"/>
              <w:bottom w:val="nil"/>
              <w:right w:val="nil"/>
            </w:tcBorders>
            <w:shd w:val="clear" w:color="auto" w:fill="auto"/>
            <w:noWrap/>
            <w:vAlign w:val="center"/>
            <w:hideMark/>
          </w:tcPr>
          <w:p w14:paraId="37F8D708"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n/a</w:t>
            </w:r>
          </w:p>
        </w:tc>
        <w:tc>
          <w:tcPr>
            <w:tcW w:w="671" w:type="dxa"/>
            <w:tcBorders>
              <w:top w:val="nil"/>
              <w:left w:val="nil"/>
              <w:bottom w:val="nil"/>
              <w:right w:val="nil"/>
            </w:tcBorders>
            <w:shd w:val="clear" w:color="auto" w:fill="auto"/>
            <w:noWrap/>
            <w:vAlign w:val="center"/>
            <w:hideMark/>
          </w:tcPr>
          <w:p w14:paraId="605E1E27"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33.89</w:t>
            </w:r>
          </w:p>
        </w:tc>
        <w:tc>
          <w:tcPr>
            <w:tcW w:w="671" w:type="dxa"/>
            <w:tcBorders>
              <w:top w:val="nil"/>
              <w:left w:val="nil"/>
              <w:bottom w:val="nil"/>
              <w:right w:val="nil"/>
            </w:tcBorders>
            <w:shd w:val="clear" w:color="auto" w:fill="auto"/>
            <w:noWrap/>
            <w:vAlign w:val="center"/>
            <w:hideMark/>
          </w:tcPr>
          <w:p w14:paraId="15B7AC9D"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n/a</w:t>
            </w:r>
          </w:p>
        </w:tc>
      </w:tr>
      <w:tr w:rsidR="003D05E8" w:rsidRPr="00EF6C6D" w14:paraId="516C4A16" w14:textId="77777777" w:rsidTr="004636F0">
        <w:trPr>
          <w:trHeight w:val="402"/>
        </w:trPr>
        <w:tc>
          <w:tcPr>
            <w:tcW w:w="2015" w:type="dxa"/>
            <w:tcBorders>
              <w:top w:val="nil"/>
              <w:left w:val="nil"/>
              <w:bottom w:val="nil"/>
              <w:right w:val="nil"/>
            </w:tcBorders>
            <w:shd w:val="clear" w:color="auto" w:fill="auto"/>
            <w:noWrap/>
            <w:vAlign w:val="center"/>
            <w:hideMark/>
          </w:tcPr>
          <w:p w14:paraId="57562060" w14:textId="77777777" w:rsidR="003D05E8" w:rsidRPr="00EF6C6D" w:rsidRDefault="003D05E8" w:rsidP="004636F0">
            <w:pPr>
              <w:keepLines w:val="0"/>
              <w:spacing w:after="0"/>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Quarry Bank Primary</w:t>
            </w:r>
          </w:p>
        </w:tc>
        <w:tc>
          <w:tcPr>
            <w:tcW w:w="671" w:type="dxa"/>
            <w:tcBorders>
              <w:top w:val="nil"/>
              <w:left w:val="nil"/>
              <w:bottom w:val="nil"/>
              <w:right w:val="nil"/>
            </w:tcBorders>
            <w:shd w:val="clear" w:color="auto" w:fill="auto"/>
            <w:noWrap/>
            <w:vAlign w:val="center"/>
            <w:hideMark/>
          </w:tcPr>
          <w:p w14:paraId="1E24EB67"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highlight w:val="yellow"/>
                <w:lang w:eastAsia="en-GB"/>
              </w:rPr>
              <w:t>45.66</w:t>
            </w:r>
          </w:p>
        </w:tc>
        <w:tc>
          <w:tcPr>
            <w:tcW w:w="671" w:type="dxa"/>
            <w:tcBorders>
              <w:top w:val="nil"/>
              <w:left w:val="nil"/>
              <w:bottom w:val="nil"/>
              <w:right w:val="nil"/>
            </w:tcBorders>
            <w:shd w:val="clear" w:color="auto" w:fill="auto"/>
            <w:noWrap/>
            <w:vAlign w:val="center"/>
            <w:hideMark/>
          </w:tcPr>
          <w:p w14:paraId="096790CF"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highlight w:val="yellow"/>
                <w:lang w:eastAsia="en-GB"/>
              </w:rPr>
              <w:t>40.70</w:t>
            </w:r>
          </w:p>
        </w:tc>
        <w:tc>
          <w:tcPr>
            <w:tcW w:w="671" w:type="dxa"/>
            <w:tcBorders>
              <w:top w:val="nil"/>
              <w:left w:val="nil"/>
              <w:bottom w:val="nil"/>
              <w:right w:val="nil"/>
            </w:tcBorders>
            <w:shd w:val="clear" w:color="auto" w:fill="auto"/>
            <w:noWrap/>
            <w:vAlign w:val="center"/>
            <w:hideMark/>
          </w:tcPr>
          <w:p w14:paraId="652B0620"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33.92</w:t>
            </w:r>
          </w:p>
        </w:tc>
        <w:tc>
          <w:tcPr>
            <w:tcW w:w="671" w:type="dxa"/>
            <w:tcBorders>
              <w:top w:val="nil"/>
              <w:left w:val="nil"/>
              <w:bottom w:val="nil"/>
              <w:right w:val="nil"/>
            </w:tcBorders>
            <w:shd w:val="clear" w:color="auto" w:fill="auto"/>
            <w:noWrap/>
            <w:vAlign w:val="center"/>
            <w:hideMark/>
          </w:tcPr>
          <w:p w14:paraId="3E96EAEB"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27.93</w:t>
            </w:r>
          </w:p>
        </w:tc>
        <w:tc>
          <w:tcPr>
            <w:tcW w:w="671" w:type="dxa"/>
            <w:tcBorders>
              <w:top w:val="nil"/>
              <w:left w:val="nil"/>
              <w:bottom w:val="nil"/>
              <w:right w:val="nil"/>
            </w:tcBorders>
            <w:shd w:val="clear" w:color="auto" w:fill="auto"/>
            <w:noWrap/>
            <w:vAlign w:val="center"/>
            <w:hideMark/>
          </w:tcPr>
          <w:p w14:paraId="3EBF056C"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25.31</w:t>
            </w:r>
          </w:p>
        </w:tc>
        <w:tc>
          <w:tcPr>
            <w:tcW w:w="671" w:type="dxa"/>
            <w:tcBorders>
              <w:top w:val="nil"/>
              <w:left w:val="nil"/>
              <w:bottom w:val="nil"/>
              <w:right w:val="nil"/>
            </w:tcBorders>
            <w:shd w:val="clear" w:color="auto" w:fill="auto"/>
            <w:noWrap/>
            <w:vAlign w:val="center"/>
            <w:hideMark/>
          </w:tcPr>
          <w:p w14:paraId="413FE816"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22.70</w:t>
            </w:r>
          </w:p>
        </w:tc>
        <w:tc>
          <w:tcPr>
            <w:tcW w:w="671" w:type="dxa"/>
            <w:tcBorders>
              <w:top w:val="nil"/>
              <w:left w:val="nil"/>
              <w:bottom w:val="nil"/>
              <w:right w:val="nil"/>
            </w:tcBorders>
            <w:shd w:val="clear" w:color="auto" w:fill="auto"/>
            <w:noWrap/>
            <w:vAlign w:val="center"/>
            <w:hideMark/>
          </w:tcPr>
          <w:p w14:paraId="4BB76464"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19.70</w:t>
            </w:r>
          </w:p>
        </w:tc>
        <w:tc>
          <w:tcPr>
            <w:tcW w:w="671" w:type="dxa"/>
            <w:tcBorders>
              <w:top w:val="nil"/>
              <w:left w:val="nil"/>
              <w:bottom w:val="nil"/>
              <w:right w:val="nil"/>
            </w:tcBorders>
            <w:shd w:val="clear" w:color="auto" w:fill="auto"/>
            <w:noWrap/>
            <w:vAlign w:val="center"/>
            <w:hideMark/>
          </w:tcPr>
          <w:p w14:paraId="55932658"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23.23</w:t>
            </w:r>
          </w:p>
        </w:tc>
        <w:tc>
          <w:tcPr>
            <w:tcW w:w="671" w:type="dxa"/>
            <w:tcBorders>
              <w:top w:val="nil"/>
              <w:left w:val="nil"/>
              <w:bottom w:val="nil"/>
              <w:right w:val="nil"/>
            </w:tcBorders>
            <w:shd w:val="clear" w:color="auto" w:fill="auto"/>
            <w:noWrap/>
            <w:vAlign w:val="center"/>
            <w:hideMark/>
          </w:tcPr>
          <w:p w14:paraId="0932EBE4"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29.86</w:t>
            </w:r>
          </w:p>
        </w:tc>
        <w:tc>
          <w:tcPr>
            <w:tcW w:w="671" w:type="dxa"/>
            <w:tcBorders>
              <w:top w:val="nil"/>
              <w:left w:val="nil"/>
              <w:bottom w:val="nil"/>
              <w:right w:val="nil"/>
            </w:tcBorders>
            <w:shd w:val="clear" w:color="auto" w:fill="auto"/>
            <w:noWrap/>
            <w:vAlign w:val="center"/>
            <w:hideMark/>
          </w:tcPr>
          <w:p w14:paraId="01904F37"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24.74</w:t>
            </w:r>
          </w:p>
        </w:tc>
        <w:tc>
          <w:tcPr>
            <w:tcW w:w="671" w:type="dxa"/>
            <w:tcBorders>
              <w:top w:val="nil"/>
              <w:left w:val="nil"/>
              <w:bottom w:val="nil"/>
              <w:right w:val="nil"/>
            </w:tcBorders>
            <w:shd w:val="clear" w:color="auto" w:fill="auto"/>
            <w:noWrap/>
            <w:vAlign w:val="center"/>
            <w:hideMark/>
          </w:tcPr>
          <w:p w14:paraId="183BAC1A"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30.02</w:t>
            </w:r>
          </w:p>
        </w:tc>
        <w:tc>
          <w:tcPr>
            <w:tcW w:w="671" w:type="dxa"/>
            <w:tcBorders>
              <w:top w:val="nil"/>
              <w:left w:val="nil"/>
              <w:bottom w:val="nil"/>
              <w:right w:val="nil"/>
            </w:tcBorders>
            <w:shd w:val="clear" w:color="auto" w:fill="auto"/>
            <w:noWrap/>
            <w:vAlign w:val="center"/>
            <w:hideMark/>
          </w:tcPr>
          <w:p w14:paraId="444620FC"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39.30</w:t>
            </w:r>
          </w:p>
        </w:tc>
      </w:tr>
      <w:tr w:rsidR="003D05E8" w:rsidRPr="00EF6C6D" w14:paraId="0B22F0BD" w14:textId="77777777" w:rsidTr="004636F0">
        <w:trPr>
          <w:trHeight w:val="402"/>
        </w:trPr>
        <w:tc>
          <w:tcPr>
            <w:tcW w:w="2015" w:type="dxa"/>
            <w:tcBorders>
              <w:top w:val="nil"/>
              <w:left w:val="nil"/>
              <w:bottom w:val="nil"/>
              <w:right w:val="nil"/>
            </w:tcBorders>
            <w:shd w:val="clear" w:color="auto" w:fill="auto"/>
            <w:noWrap/>
            <w:vAlign w:val="center"/>
            <w:hideMark/>
          </w:tcPr>
          <w:p w14:paraId="42630AC1" w14:textId="77777777" w:rsidR="003D05E8" w:rsidRPr="00EF6C6D" w:rsidRDefault="003D05E8" w:rsidP="004636F0">
            <w:pPr>
              <w:keepLines w:val="0"/>
              <w:spacing w:after="0"/>
              <w:rPr>
                <w:rFonts w:ascii="Calibri" w:eastAsia="Times New Roman" w:hAnsi="Calibri" w:cs="Calibri"/>
                <w:color w:val="0070C0"/>
                <w:sz w:val="18"/>
                <w:szCs w:val="18"/>
                <w:lang w:eastAsia="en-GB"/>
              </w:rPr>
            </w:pPr>
            <w:proofErr w:type="spellStart"/>
            <w:r w:rsidRPr="00EF6C6D">
              <w:rPr>
                <w:rFonts w:ascii="Calibri" w:eastAsia="Times New Roman" w:hAnsi="Calibri" w:cs="Calibri"/>
                <w:color w:val="0070C0"/>
                <w:sz w:val="18"/>
                <w:szCs w:val="18"/>
                <w:lang w:eastAsia="en-GB"/>
              </w:rPr>
              <w:t>Redhall</w:t>
            </w:r>
            <w:proofErr w:type="spellEnd"/>
            <w:r w:rsidRPr="00EF6C6D">
              <w:rPr>
                <w:rFonts w:ascii="Calibri" w:eastAsia="Times New Roman" w:hAnsi="Calibri" w:cs="Calibri"/>
                <w:color w:val="0070C0"/>
                <w:sz w:val="18"/>
                <w:szCs w:val="18"/>
                <w:lang w:eastAsia="en-GB"/>
              </w:rPr>
              <w:t xml:space="preserve"> Primary, </w:t>
            </w:r>
            <w:proofErr w:type="spellStart"/>
            <w:r w:rsidRPr="00EF6C6D">
              <w:rPr>
                <w:rFonts w:ascii="Calibri" w:eastAsia="Times New Roman" w:hAnsi="Calibri" w:cs="Calibri"/>
                <w:color w:val="0070C0"/>
                <w:sz w:val="18"/>
                <w:szCs w:val="18"/>
                <w:lang w:eastAsia="en-GB"/>
              </w:rPr>
              <w:t>Zoar</w:t>
            </w:r>
            <w:proofErr w:type="spellEnd"/>
            <w:r w:rsidRPr="00EF6C6D">
              <w:rPr>
                <w:rFonts w:ascii="Calibri" w:eastAsia="Times New Roman" w:hAnsi="Calibri" w:cs="Calibri"/>
                <w:color w:val="0070C0"/>
                <w:sz w:val="18"/>
                <w:szCs w:val="18"/>
                <w:lang w:eastAsia="en-GB"/>
              </w:rPr>
              <w:t xml:space="preserve"> St</w:t>
            </w:r>
          </w:p>
        </w:tc>
        <w:tc>
          <w:tcPr>
            <w:tcW w:w="671" w:type="dxa"/>
            <w:tcBorders>
              <w:top w:val="nil"/>
              <w:left w:val="nil"/>
              <w:bottom w:val="nil"/>
              <w:right w:val="nil"/>
            </w:tcBorders>
            <w:shd w:val="clear" w:color="auto" w:fill="auto"/>
            <w:noWrap/>
            <w:vAlign w:val="center"/>
            <w:hideMark/>
          </w:tcPr>
          <w:p w14:paraId="6CA06301"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30.38</w:t>
            </w:r>
          </w:p>
        </w:tc>
        <w:tc>
          <w:tcPr>
            <w:tcW w:w="671" w:type="dxa"/>
            <w:tcBorders>
              <w:top w:val="nil"/>
              <w:left w:val="nil"/>
              <w:bottom w:val="nil"/>
              <w:right w:val="nil"/>
            </w:tcBorders>
            <w:shd w:val="clear" w:color="auto" w:fill="auto"/>
            <w:noWrap/>
            <w:vAlign w:val="center"/>
            <w:hideMark/>
          </w:tcPr>
          <w:p w14:paraId="600315D9"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24.82</w:t>
            </w:r>
          </w:p>
        </w:tc>
        <w:tc>
          <w:tcPr>
            <w:tcW w:w="671" w:type="dxa"/>
            <w:tcBorders>
              <w:top w:val="nil"/>
              <w:left w:val="nil"/>
              <w:bottom w:val="nil"/>
              <w:right w:val="nil"/>
            </w:tcBorders>
            <w:shd w:val="clear" w:color="auto" w:fill="auto"/>
            <w:noWrap/>
            <w:vAlign w:val="center"/>
            <w:hideMark/>
          </w:tcPr>
          <w:p w14:paraId="716A02AA"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21.64</w:t>
            </w:r>
          </w:p>
        </w:tc>
        <w:tc>
          <w:tcPr>
            <w:tcW w:w="671" w:type="dxa"/>
            <w:tcBorders>
              <w:top w:val="nil"/>
              <w:left w:val="nil"/>
              <w:bottom w:val="nil"/>
              <w:right w:val="nil"/>
            </w:tcBorders>
            <w:shd w:val="clear" w:color="auto" w:fill="auto"/>
            <w:noWrap/>
            <w:vAlign w:val="center"/>
            <w:hideMark/>
          </w:tcPr>
          <w:p w14:paraId="0AF535FD"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19.00</w:t>
            </w:r>
          </w:p>
        </w:tc>
        <w:tc>
          <w:tcPr>
            <w:tcW w:w="671" w:type="dxa"/>
            <w:tcBorders>
              <w:top w:val="nil"/>
              <w:left w:val="nil"/>
              <w:bottom w:val="nil"/>
              <w:right w:val="nil"/>
            </w:tcBorders>
            <w:shd w:val="clear" w:color="auto" w:fill="auto"/>
            <w:noWrap/>
            <w:vAlign w:val="center"/>
            <w:hideMark/>
          </w:tcPr>
          <w:p w14:paraId="7C24D2B2"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13.07</w:t>
            </w:r>
          </w:p>
        </w:tc>
        <w:tc>
          <w:tcPr>
            <w:tcW w:w="671" w:type="dxa"/>
            <w:tcBorders>
              <w:top w:val="nil"/>
              <w:left w:val="nil"/>
              <w:bottom w:val="nil"/>
              <w:right w:val="nil"/>
            </w:tcBorders>
            <w:shd w:val="clear" w:color="auto" w:fill="auto"/>
            <w:noWrap/>
            <w:vAlign w:val="center"/>
            <w:hideMark/>
          </w:tcPr>
          <w:p w14:paraId="2BB3E1D0"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12.54</w:t>
            </w:r>
          </w:p>
        </w:tc>
        <w:tc>
          <w:tcPr>
            <w:tcW w:w="671" w:type="dxa"/>
            <w:tcBorders>
              <w:top w:val="nil"/>
              <w:left w:val="nil"/>
              <w:bottom w:val="nil"/>
              <w:right w:val="nil"/>
            </w:tcBorders>
            <w:shd w:val="clear" w:color="auto" w:fill="auto"/>
            <w:noWrap/>
            <w:vAlign w:val="center"/>
            <w:hideMark/>
          </w:tcPr>
          <w:p w14:paraId="2EEAB8D0"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11.38</w:t>
            </w:r>
          </w:p>
        </w:tc>
        <w:tc>
          <w:tcPr>
            <w:tcW w:w="671" w:type="dxa"/>
            <w:tcBorders>
              <w:top w:val="nil"/>
              <w:left w:val="nil"/>
              <w:bottom w:val="nil"/>
              <w:right w:val="nil"/>
            </w:tcBorders>
            <w:shd w:val="clear" w:color="auto" w:fill="auto"/>
            <w:noWrap/>
            <w:vAlign w:val="center"/>
            <w:hideMark/>
          </w:tcPr>
          <w:p w14:paraId="7DC0CBA4"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14.90</w:t>
            </w:r>
          </w:p>
        </w:tc>
        <w:tc>
          <w:tcPr>
            <w:tcW w:w="671" w:type="dxa"/>
            <w:tcBorders>
              <w:top w:val="nil"/>
              <w:left w:val="nil"/>
              <w:bottom w:val="nil"/>
              <w:right w:val="nil"/>
            </w:tcBorders>
            <w:shd w:val="clear" w:color="auto" w:fill="auto"/>
            <w:noWrap/>
            <w:vAlign w:val="center"/>
            <w:hideMark/>
          </w:tcPr>
          <w:p w14:paraId="685148BD"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17.71</w:t>
            </w:r>
          </w:p>
        </w:tc>
        <w:tc>
          <w:tcPr>
            <w:tcW w:w="671" w:type="dxa"/>
            <w:tcBorders>
              <w:top w:val="nil"/>
              <w:left w:val="nil"/>
              <w:bottom w:val="nil"/>
              <w:right w:val="nil"/>
            </w:tcBorders>
            <w:shd w:val="clear" w:color="auto" w:fill="auto"/>
            <w:noWrap/>
            <w:vAlign w:val="center"/>
            <w:hideMark/>
          </w:tcPr>
          <w:p w14:paraId="116065BC"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20.94</w:t>
            </w:r>
          </w:p>
        </w:tc>
        <w:tc>
          <w:tcPr>
            <w:tcW w:w="671" w:type="dxa"/>
            <w:tcBorders>
              <w:top w:val="nil"/>
              <w:left w:val="nil"/>
              <w:bottom w:val="nil"/>
              <w:right w:val="nil"/>
            </w:tcBorders>
            <w:shd w:val="clear" w:color="auto" w:fill="auto"/>
            <w:noWrap/>
            <w:vAlign w:val="center"/>
            <w:hideMark/>
          </w:tcPr>
          <w:p w14:paraId="3A2BA66D"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30.57</w:t>
            </w:r>
          </w:p>
        </w:tc>
        <w:tc>
          <w:tcPr>
            <w:tcW w:w="671" w:type="dxa"/>
            <w:tcBorders>
              <w:top w:val="nil"/>
              <w:left w:val="nil"/>
              <w:bottom w:val="nil"/>
              <w:right w:val="nil"/>
            </w:tcBorders>
            <w:shd w:val="clear" w:color="auto" w:fill="auto"/>
            <w:noWrap/>
            <w:vAlign w:val="center"/>
            <w:hideMark/>
          </w:tcPr>
          <w:p w14:paraId="379C883A"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n/a</w:t>
            </w:r>
          </w:p>
        </w:tc>
      </w:tr>
      <w:tr w:rsidR="003D05E8" w:rsidRPr="00EF6C6D" w14:paraId="72CB97CF" w14:textId="77777777" w:rsidTr="004636F0">
        <w:trPr>
          <w:trHeight w:val="402"/>
        </w:trPr>
        <w:tc>
          <w:tcPr>
            <w:tcW w:w="2015" w:type="dxa"/>
            <w:tcBorders>
              <w:top w:val="nil"/>
              <w:left w:val="nil"/>
              <w:bottom w:val="nil"/>
              <w:right w:val="nil"/>
            </w:tcBorders>
            <w:shd w:val="clear" w:color="auto" w:fill="auto"/>
            <w:noWrap/>
            <w:vAlign w:val="center"/>
            <w:hideMark/>
          </w:tcPr>
          <w:p w14:paraId="567A4A11" w14:textId="77777777" w:rsidR="003D05E8" w:rsidRPr="00EF6C6D" w:rsidRDefault="003D05E8" w:rsidP="004636F0">
            <w:pPr>
              <w:keepLines w:val="0"/>
              <w:spacing w:after="0"/>
              <w:rPr>
                <w:rFonts w:ascii="Calibri" w:eastAsia="Times New Roman" w:hAnsi="Calibri" w:cs="Calibri"/>
                <w:color w:val="0070C0"/>
                <w:sz w:val="18"/>
                <w:szCs w:val="18"/>
                <w:lang w:eastAsia="en-GB"/>
              </w:rPr>
            </w:pPr>
            <w:proofErr w:type="spellStart"/>
            <w:r w:rsidRPr="00EF6C6D">
              <w:rPr>
                <w:rFonts w:ascii="Calibri" w:eastAsia="Times New Roman" w:hAnsi="Calibri" w:cs="Calibri"/>
                <w:color w:val="0070C0"/>
                <w:sz w:val="18"/>
                <w:szCs w:val="18"/>
                <w:lang w:eastAsia="en-GB"/>
              </w:rPr>
              <w:t>Zoar</w:t>
            </w:r>
            <w:proofErr w:type="spellEnd"/>
            <w:r w:rsidRPr="00EF6C6D">
              <w:rPr>
                <w:rFonts w:ascii="Calibri" w:eastAsia="Times New Roman" w:hAnsi="Calibri" w:cs="Calibri"/>
                <w:color w:val="0070C0"/>
                <w:sz w:val="18"/>
                <w:szCs w:val="18"/>
                <w:lang w:eastAsia="en-GB"/>
              </w:rPr>
              <w:t xml:space="preserve"> Street</w:t>
            </w:r>
          </w:p>
        </w:tc>
        <w:tc>
          <w:tcPr>
            <w:tcW w:w="671" w:type="dxa"/>
            <w:tcBorders>
              <w:top w:val="nil"/>
              <w:left w:val="nil"/>
              <w:bottom w:val="nil"/>
              <w:right w:val="nil"/>
            </w:tcBorders>
            <w:shd w:val="clear" w:color="auto" w:fill="auto"/>
            <w:noWrap/>
            <w:vAlign w:val="center"/>
            <w:hideMark/>
          </w:tcPr>
          <w:p w14:paraId="2C784BFD" w14:textId="77777777" w:rsidR="003D05E8" w:rsidRPr="00EF6C6D" w:rsidRDefault="003D05E8" w:rsidP="004636F0">
            <w:pPr>
              <w:keepLines w:val="0"/>
              <w:spacing w:after="0"/>
              <w:jc w:val="center"/>
              <w:rPr>
                <w:rFonts w:ascii="Calibri" w:eastAsia="Times New Roman" w:hAnsi="Calibri" w:cs="Calibri"/>
                <w:color w:val="0070C0"/>
                <w:sz w:val="18"/>
                <w:szCs w:val="18"/>
                <w:highlight w:val="yellow"/>
                <w:lang w:eastAsia="en-GB"/>
              </w:rPr>
            </w:pPr>
            <w:r w:rsidRPr="00EF6C6D">
              <w:rPr>
                <w:rFonts w:ascii="Calibri" w:eastAsia="Times New Roman" w:hAnsi="Calibri" w:cs="Calibri"/>
                <w:color w:val="0070C0"/>
                <w:sz w:val="18"/>
                <w:szCs w:val="18"/>
                <w:highlight w:val="yellow"/>
                <w:lang w:eastAsia="en-GB"/>
              </w:rPr>
              <w:t>48.70</w:t>
            </w:r>
          </w:p>
        </w:tc>
        <w:tc>
          <w:tcPr>
            <w:tcW w:w="671" w:type="dxa"/>
            <w:tcBorders>
              <w:top w:val="nil"/>
              <w:left w:val="nil"/>
              <w:bottom w:val="nil"/>
              <w:right w:val="nil"/>
            </w:tcBorders>
            <w:shd w:val="clear" w:color="auto" w:fill="auto"/>
            <w:noWrap/>
            <w:vAlign w:val="center"/>
            <w:hideMark/>
          </w:tcPr>
          <w:p w14:paraId="1E07EC46" w14:textId="77777777" w:rsidR="003D05E8" w:rsidRPr="00EF6C6D" w:rsidRDefault="003D05E8" w:rsidP="004636F0">
            <w:pPr>
              <w:keepLines w:val="0"/>
              <w:spacing w:after="0"/>
              <w:jc w:val="center"/>
              <w:rPr>
                <w:rFonts w:ascii="Calibri" w:eastAsia="Times New Roman" w:hAnsi="Calibri" w:cs="Calibri"/>
                <w:color w:val="0070C0"/>
                <w:sz w:val="18"/>
                <w:szCs w:val="18"/>
                <w:highlight w:val="yellow"/>
                <w:lang w:eastAsia="en-GB"/>
              </w:rPr>
            </w:pPr>
            <w:r w:rsidRPr="00EF6C6D">
              <w:rPr>
                <w:rFonts w:ascii="Calibri" w:eastAsia="Times New Roman" w:hAnsi="Calibri" w:cs="Calibri"/>
                <w:color w:val="0070C0"/>
                <w:sz w:val="18"/>
                <w:szCs w:val="18"/>
                <w:highlight w:val="yellow"/>
                <w:lang w:eastAsia="en-GB"/>
              </w:rPr>
              <w:t>44.67</w:t>
            </w:r>
          </w:p>
        </w:tc>
        <w:tc>
          <w:tcPr>
            <w:tcW w:w="671" w:type="dxa"/>
            <w:tcBorders>
              <w:top w:val="nil"/>
              <w:left w:val="nil"/>
              <w:bottom w:val="nil"/>
              <w:right w:val="nil"/>
            </w:tcBorders>
            <w:shd w:val="clear" w:color="auto" w:fill="auto"/>
            <w:noWrap/>
            <w:vAlign w:val="center"/>
            <w:hideMark/>
          </w:tcPr>
          <w:p w14:paraId="30FFF839"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39.48</w:t>
            </w:r>
          </w:p>
        </w:tc>
        <w:tc>
          <w:tcPr>
            <w:tcW w:w="671" w:type="dxa"/>
            <w:tcBorders>
              <w:top w:val="nil"/>
              <w:left w:val="nil"/>
              <w:bottom w:val="nil"/>
              <w:right w:val="nil"/>
            </w:tcBorders>
            <w:shd w:val="clear" w:color="auto" w:fill="auto"/>
            <w:noWrap/>
            <w:vAlign w:val="center"/>
            <w:hideMark/>
          </w:tcPr>
          <w:p w14:paraId="66E25E6C"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34.23</w:t>
            </w:r>
          </w:p>
        </w:tc>
        <w:tc>
          <w:tcPr>
            <w:tcW w:w="671" w:type="dxa"/>
            <w:tcBorders>
              <w:top w:val="nil"/>
              <w:left w:val="nil"/>
              <w:bottom w:val="nil"/>
              <w:right w:val="nil"/>
            </w:tcBorders>
            <w:shd w:val="clear" w:color="auto" w:fill="auto"/>
            <w:noWrap/>
            <w:vAlign w:val="center"/>
            <w:hideMark/>
          </w:tcPr>
          <w:p w14:paraId="154D4C86"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32.34</w:t>
            </w:r>
          </w:p>
        </w:tc>
        <w:tc>
          <w:tcPr>
            <w:tcW w:w="671" w:type="dxa"/>
            <w:tcBorders>
              <w:top w:val="nil"/>
              <w:left w:val="nil"/>
              <w:bottom w:val="nil"/>
              <w:right w:val="nil"/>
            </w:tcBorders>
            <w:shd w:val="clear" w:color="auto" w:fill="auto"/>
            <w:noWrap/>
            <w:vAlign w:val="center"/>
            <w:hideMark/>
          </w:tcPr>
          <w:p w14:paraId="517D6AC0"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29.37</w:t>
            </w:r>
          </w:p>
        </w:tc>
        <w:tc>
          <w:tcPr>
            <w:tcW w:w="671" w:type="dxa"/>
            <w:tcBorders>
              <w:top w:val="nil"/>
              <w:left w:val="nil"/>
              <w:bottom w:val="nil"/>
              <w:right w:val="nil"/>
            </w:tcBorders>
            <w:shd w:val="clear" w:color="auto" w:fill="auto"/>
            <w:noWrap/>
            <w:vAlign w:val="center"/>
            <w:hideMark/>
          </w:tcPr>
          <w:p w14:paraId="537518D2"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22.36</w:t>
            </w:r>
          </w:p>
        </w:tc>
        <w:tc>
          <w:tcPr>
            <w:tcW w:w="671" w:type="dxa"/>
            <w:tcBorders>
              <w:top w:val="nil"/>
              <w:left w:val="nil"/>
              <w:bottom w:val="nil"/>
              <w:right w:val="nil"/>
            </w:tcBorders>
            <w:shd w:val="clear" w:color="auto" w:fill="auto"/>
            <w:noWrap/>
            <w:vAlign w:val="center"/>
            <w:hideMark/>
          </w:tcPr>
          <w:p w14:paraId="4E461EA8"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27.40</w:t>
            </w:r>
          </w:p>
        </w:tc>
        <w:tc>
          <w:tcPr>
            <w:tcW w:w="671" w:type="dxa"/>
            <w:tcBorders>
              <w:top w:val="nil"/>
              <w:left w:val="nil"/>
              <w:bottom w:val="nil"/>
              <w:right w:val="nil"/>
            </w:tcBorders>
            <w:shd w:val="clear" w:color="auto" w:fill="auto"/>
            <w:noWrap/>
            <w:vAlign w:val="center"/>
            <w:hideMark/>
          </w:tcPr>
          <w:p w14:paraId="73130239"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33.87</w:t>
            </w:r>
          </w:p>
        </w:tc>
        <w:tc>
          <w:tcPr>
            <w:tcW w:w="671" w:type="dxa"/>
            <w:tcBorders>
              <w:top w:val="nil"/>
              <w:left w:val="nil"/>
              <w:bottom w:val="nil"/>
              <w:right w:val="nil"/>
            </w:tcBorders>
            <w:shd w:val="clear" w:color="auto" w:fill="auto"/>
            <w:noWrap/>
            <w:vAlign w:val="center"/>
            <w:hideMark/>
          </w:tcPr>
          <w:p w14:paraId="3B4933D4"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28.50</w:t>
            </w:r>
          </w:p>
        </w:tc>
        <w:tc>
          <w:tcPr>
            <w:tcW w:w="671" w:type="dxa"/>
            <w:tcBorders>
              <w:top w:val="nil"/>
              <w:left w:val="nil"/>
              <w:bottom w:val="nil"/>
              <w:right w:val="nil"/>
            </w:tcBorders>
            <w:shd w:val="clear" w:color="auto" w:fill="auto"/>
            <w:noWrap/>
            <w:vAlign w:val="center"/>
            <w:hideMark/>
          </w:tcPr>
          <w:p w14:paraId="02560DE2"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40.09</w:t>
            </w:r>
          </w:p>
        </w:tc>
        <w:tc>
          <w:tcPr>
            <w:tcW w:w="671" w:type="dxa"/>
            <w:tcBorders>
              <w:top w:val="nil"/>
              <w:left w:val="nil"/>
              <w:bottom w:val="nil"/>
              <w:right w:val="nil"/>
            </w:tcBorders>
            <w:shd w:val="clear" w:color="auto" w:fill="auto"/>
            <w:noWrap/>
            <w:vAlign w:val="center"/>
            <w:hideMark/>
          </w:tcPr>
          <w:p w14:paraId="3A5F3D9E" w14:textId="77777777" w:rsidR="003D05E8" w:rsidRPr="00EF6C6D" w:rsidRDefault="003D05E8" w:rsidP="004636F0">
            <w:pPr>
              <w:keepLines w:val="0"/>
              <w:spacing w:after="0"/>
              <w:jc w:val="center"/>
              <w:rPr>
                <w:rFonts w:ascii="Calibri" w:eastAsia="Times New Roman" w:hAnsi="Calibri" w:cs="Calibri"/>
                <w:color w:val="0070C0"/>
                <w:sz w:val="18"/>
                <w:szCs w:val="18"/>
                <w:lang w:eastAsia="en-GB"/>
              </w:rPr>
            </w:pPr>
            <w:r w:rsidRPr="00EF6C6D">
              <w:rPr>
                <w:rFonts w:ascii="Calibri" w:eastAsia="Times New Roman" w:hAnsi="Calibri" w:cs="Calibri"/>
                <w:color w:val="0070C0"/>
                <w:sz w:val="18"/>
                <w:szCs w:val="18"/>
                <w:lang w:eastAsia="en-GB"/>
              </w:rPr>
              <w:t>44.25</w:t>
            </w:r>
          </w:p>
        </w:tc>
      </w:tr>
    </w:tbl>
    <w:p w14:paraId="078BE700" w14:textId="77777777" w:rsidR="003D05E8" w:rsidRDefault="003D05E8" w:rsidP="003D05E8">
      <w:pPr>
        <w:pStyle w:val="ListParagraph"/>
        <w:numPr>
          <w:ilvl w:val="1"/>
          <w:numId w:val="8"/>
        </w:numPr>
      </w:pPr>
      <w:r>
        <w:t>Discuss any trends.</w:t>
      </w:r>
    </w:p>
    <w:p w14:paraId="1D2995C9" w14:textId="77777777" w:rsidR="003D05E8" w:rsidRPr="00CF6051" w:rsidRDefault="003D05E8" w:rsidP="003D05E8">
      <w:pPr>
        <w:pStyle w:val="ListParagraph"/>
        <w:numPr>
          <w:ilvl w:val="0"/>
          <w:numId w:val="9"/>
        </w:numPr>
        <w:rPr>
          <w:color w:val="0070C0"/>
        </w:rPr>
      </w:pPr>
      <w:r w:rsidRPr="00CF6051">
        <w:rPr>
          <w:color w:val="0070C0"/>
        </w:rPr>
        <w:t>Three of the sites have measurements of NO</w:t>
      </w:r>
      <w:r w:rsidRPr="00CF6051">
        <w:rPr>
          <w:color w:val="0070C0"/>
          <w:vertAlign w:val="subscript"/>
        </w:rPr>
        <w:t>2</w:t>
      </w:r>
      <w:r w:rsidRPr="00CF6051">
        <w:rPr>
          <w:color w:val="0070C0"/>
        </w:rPr>
        <w:t xml:space="preserve"> above the level of action in most months of the year. </w:t>
      </w:r>
    </w:p>
    <w:p w14:paraId="5F640EFE" w14:textId="77777777" w:rsidR="003D05E8" w:rsidRPr="00CF6051" w:rsidRDefault="003D05E8" w:rsidP="003D05E8">
      <w:pPr>
        <w:pStyle w:val="ListParagraph"/>
        <w:numPr>
          <w:ilvl w:val="0"/>
          <w:numId w:val="9"/>
        </w:numPr>
        <w:rPr>
          <w:color w:val="0070C0"/>
        </w:rPr>
      </w:pPr>
      <w:r w:rsidRPr="00CF6051">
        <w:rPr>
          <w:color w:val="0070C0"/>
        </w:rPr>
        <w:t>Two primary schools have measurements of NO</w:t>
      </w:r>
      <w:r w:rsidRPr="00CF6051">
        <w:rPr>
          <w:color w:val="0070C0"/>
          <w:vertAlign w:val="subscript"/>
        </w:rPr>
        <w:t>2</w:t>
      </w:r>
      <w:r w:rsidRPr="00CF6051">
        <w:rPr>
          <w:color w:val="0070C0"/>
        </w:rPr>
        <w:t xml:space="preserve"> above the level of action at some point in the year.</w:t>
      </w:r>
    </w:p>
    <w:p w14:paraId="1CA01159" w14:textId="77777777" w:rsidR="003D05E8" w:rsidRDefault="003D05E8" w:rsidP="003D05E8">
      <w:pPr>
        <w:pStyle w:val="Numberedlist"/>
        <w:numPr>
          <w:ilvl w:val="0"/>
          <w:numId w:val="8"/>
        </w:numPr>
      </w:pPr>
      <w:r>
        <w:t>Comparing how the type of road affects the minimum and maximum levels of NO</w:t>
      </w:r>
      <w:r w:rsidRPr="00EF6C6D">
        <w:rPr>
          <w:vertAlign w:val="subscript"/>
        </w:rPr>
        <w:t>2</w:t>
      </w:r>
      <w:r>
        <w:t xml:space="preserve"> measured</w:t>
      </w:r>
    </w:p>
    <w:p w14:paraId="43C64C76" w14:textId="77777777" w:rsidR="003D05E8" w:rsidRDefault="003D05E8" w:rsidP="003D05E8">
      <w:pPr>
        <w:pStyle w:val="Numberedlist"/>
        <w:numPr>
          <w:ilvl w:val="1"/>
          <w:numId w:val="8"/>
        </w:numPr>
      </w:pPr>
      <w:r>
        <w:t>What type of street registered the lowest level of NO</w:t>
      </w:r>
      <w:r w:rsidRPr="00214A35">
        <w:rPr>
          <w:vertAlign w:val="subscript"/>
        </w:rPr>
        <w:t>2</w:t>
      </w:r>
      <w:r>
        <w:t>?</w:t>
      </w:r>
    </w:p>
    <w:p w14:paraId="29702F7F" w14:textId="77777777" w:rsidR="003D05E8" w:rsidRDefault="003D05E8" w:rsidP="003D05E8">
      <w:pPr>
        <w:pStyle w:val="Numberedlist"/>
        <w:numPr>
          <w:ilvl w:val="0"/>
          <w:numId w:val="0"/>
        </w:numPr>
        <w:ind w:left="1080"/>
      </w:pPr>
      <w:r w:rsidRPr="00EF6C6D">
        <w:rPr>
          <w:color w:val="0070C0"/>
        </w:rPr>
        <w:t>Residential</w:t>
      </w:r>
    </w:p>
    <w:p w14:paraId="4FDAF2CD" w14:textId="77777777" w:rsidR="003D05E8" w:rsidRDefault="003D05E8" w:rsidP="003D05E8">
      <w:pPr>
        <w:pStyle w:val="Numberedlist"/>
        <w:numPr>
          <w:ilvl w:val="1"/>
          <w:numId w:val="8"/>
        </w:numPr>
      </w:pPr>
      <w:r>
        <w:t>What type of street registered the highest level of NO</w:t>
      </w:r>
      <w:r w:rsidRPr="00214A35">
        <w:rPr>
          <w:vertAlign w:val="subscript"/>
        </w:rPr>
        <w:t>2</w:t>
      </w:r>
      <w:r>
        <w:t>?</w:t>
      </w:r>
    </w:p>
    <w:p w14:paraId="1DA1903F" w14:textId="77777777" w:rsidR="003D05E8" w:rsidRPr="00EF6C6D" w:rsidRDefault="003D05E8" w:rsidP="003D05E8">
      <w:pPr>
        <w:pStyle w:val="Numberedlist"/>
        <w:numPr>
          <w:ilvl w:val="0"/>
          <w:numId w:val="0"/>
        </w:numPr>
        <w:ind w:left="1080"/>
        <w:rPr>
          <w:color w:val="0070C0"/>
        </w:rPr>
      </w:pPr>
      <w:r w:rsidRPr="00EF6C6D">
        <w:rPr>
          <w:color w:val="0070C0"/>
        </w:rPr>
        <w:t>A road</w:t>
      </w:r>
    </w:p>
    <w:p w14:paraId="5A277855" w14:textId="77777777" w:rsidR="003D05E8" w:rsidRDefault="003D05E8" w:rsidP="003D05E8">
      <w:pPr>
        <w:pStyle w:val="Numberedlist"/>
        <w:numPr>
          <w:ilvl w:val="1"/>
          <w:numId w:val="8"/>
        </w:numPr>
      </w:pPr>
      <w:r>
        <w:t>Suggest why these types of streets had a big difference in levels of NO</w:t>
      </w:r>
      <w:r w:rsidRPr="00A31A2B">
        <w:rPr>
          <w:vertAlign w:val="subscript"/>
        </w:rPr>
        <w:t>2</w:t>
      </w:r>
      <w:r>
        <w:t>.</w:t>
      </w:r>
    </w:p>
    <w:p w14:paraId="37403E9B" w14:textId="77777777" w:rsidR="003D05E8" w:rsidRPr="00EF6C6D" w:rsidRDefault="003D05E8" w:rsidP="003D05E8">
      <w:pPr>
        <w:pStyle w:val="Numberedlist"/>
        <w:numPr>
          <w:ilvl w:val="0"/>
          <w:numId w:val="0"/>
        </w:numPr>
        <w:ind w:left="1080"/>
        <w:rPr>
          <w:color w:val="0070C0"/>
        </w:rPr>
      </w:pPr>
      <w:r w:rsidRPr="00EF6C6D">
        <w:rPr>
          <w:color w:val="0070C0"/>
        </w:rPr>
        <w:t>A roads are major roads.</w:t>
      </w:r>
      <w:r>
        <w:rPr>
          <w:color w:val="0070C0"/>
        </w:rPr>
        <w:t xml:space="preserve"> NO</w:t>
      </w:r>
      <w:r w:rsidRPr="00EF6C6D">
        <w:rPr>
          <w:color w:val="0070C0"/>
          <w:vertAlign w:val="subscript"/>
        </w:rPr>
        <w:t>2</w:t>
      </w:r>
      <w:r>
        <w:rPr>
          <w:color w:val="0070C0"/>
        </w:rPr>
        <w:t xml:space="preserve"> is produced by vehicle exhaust.</w:t>
      </w:r>
      <w:r w:rsidRPr="00EF6C6D">
        <w:rPr>
          <w:color w:val="0070C0"/>
        </w:rPr>
        <w:t xml:space="preserve"> Residential streets have much</w:t>
      </w:r>
      <w:r>
        <w:rPr>
          <w:color w:val="0070C0"/>
        </w:rPr>
        <w:t xml:space="preserve"> lower levels of traffic than A-</w:t>
      </w:r>
      <w:r w:rsidRPr="00EF6C6D">
        <w:rPr>
          <w:color w:val="0070C0"/>
        </w:rPr>
        <w:t xml:space="preserve">roads. </w:t>
      </w:r>
    </w:p>
    <w:p w14:paraId="36AE7F19" w14:textId="77777777" w:rsidR="003D05E8" w:rsidRDefault="003D05E8" w:rsidP="003D05E8">
      <w:pPr>
        <w:pStyle w:val="Numberedlist"/>
        <w:numPr>
          <w:ilvl w:val="0"/>
          <w:numId w:val="0"/>
        </w:numPr>
        <w:ind w:left="1440"/>
      </w:pPr>
    </w:p>
    <w:p w14:paraId="5F4EC429" w14:textId="77777777" w:rsidR="003D05E8" w:rsidRDefault="003D05E8" w:rsidP="003D05E8">
      <w:pPr>
        <w:pStyle w:val="Numberedlist"/>
        <w:numPr>
          <w:ilvl w:val="0"/>
          <w:numId w:val="8"/>
        </w:numPr>
      </w:pPr>
      <w:r>
        <w:t>Comparing trends across the year</w:t>
      </w:r>
    </w:p>
    <w:p w14:paraId="6BC8502E" w14:textId="77777777" w:rsidR="003D05E8" w:rsidRDefault="003D05E8" w:rsidP="003D05E8">
      <w:pPr>
        <w:pStyle w:val="Numberedlist"/>
        <w:numPr>
          <w:ilvl w:val="1"/>
          <w:numId w:val="8"/>
        </w:numPr>
      </w:pPr>
      <w:r>
        <w:t>Which month registered the lowest level of NO</w:t>
      </w:r>
      <w:r w:rsidRPr="00214A35">
        <w:rPr>
          <w:vertAlign w:val="subscript"/>
        </w:rPr>
        <w:t>2</w:t>
      </w:r>
      <w:r>
        <w:t>?</w:t>
      </w:r>
    </w:p>
    <w:p w14:paraId="7EB8D524" w14:textId="77777777" w:rsidR="003D05E8" w:rsidRPr="00CF6051" w:rsidRDefault="003D05E8" w:rsidP="003D05E8">
      <w:pPr>
        <w:pStyle w:val="Numberedlist"/>
        <w:numPr>
          <w:ilvl w:val="0"/>
          <w:numId w:val="0"/>
        </w:numPr>
        <w:ind w:left="1080"/>
        <w:rPr>
          <w:color w:val="0070C0"/>
        </w:rPr>
      </w:pPr>
      <w:r w:rsidRPr="00CF6051">
        <w:rPr>
          <w:color w:val="0070C0"/>
        </w:rPr>
        <w:t>July (</w:t>
      </w:r>
      <w:proofErr w:type="spellStart"/>
      <w:r w:rsidRPr="00CF6051">
        <w:rPr>
          <w:color w:val="0070C0"/>
        </w:rPr>
        <w:t>C</w:t>
      </w:r>
      <w:r>
        <w:rPr>
          <w:color w:val="0070C0"/>
        </w:rPr>
        <w:t>l</w:t>
      </w:r>
      <w:r w:rsidRPr="00CF6051">
        <w:rPr>
          <w:color w:val="0070C0"/>
        </w:rPr>
        <w:t>ent</w:t>
      </w:r>
      <w:proofErr w:type="spellEnd"/>
      <w:r w:rsidRPr="00CF6051">
        <w:rPr>
          <w:color w:val="0070C0"/>
        </w:rPr>
        <w:t xml:space="preserve"> View)</w:t>
      </w:r>
    </w:p>
    <w:p w14:paraId="13D5BD97" w14:textId="77777777" w:rsidR="003D05E8" w:rsidRDefault="003D05E8" w:rsidP="003D05E8">
      <w:pPr>
        <w:pStyle w:val="Numberedlist"/>
        <w:numPr>
          <w:ilvl w:val="1"/>
          <w:numId w:val="8"/>
        </w:numPr>
      </w:pPr>
      <w:r>
        <w:t>Which month registered the highest level of NO</w:t>
      </w:r>
      <w:r w:rsidRPr="00214A35">
        <w:rPr>
          <w:vertAlign w:val="subscript"/>
        </w:rPr>
        <w:t>2</w:t>
      </w:r>
      <w:r>
        <w:t>?</w:t>
      </w:r>
    </w:p>
    <w:p w14:paraId="09D718E9" w14:textId="77777777" w:rsidR="003D05E8" w:rsidRPr="00CF6051" w:rsidRDefault="003D05E8" w:rsidP="003D05E8">
      <w:pPr>
        <w:pStyle w:val="Numberedlist"/>
        <w:numPr>
          <w:ilvl w:val="0"/>
          <w:numId w:val="0"/>
        </w:numPr>
        <w:ind w:left="1080"/>
        <w:rPr>
          <w:color w:val="0070C0"/>
        </w:rPr>
      </w:pPr>
      <w:r w:rsidRPr="00CF6051">
        <w:rPr>
          <w:color w:val="0070C0"/>
        </w:rPr>
        <w:t>January (Halesowen Road)</w:t>
      </w:r>
    </w:p>
    <w:p w14:paraId="1BE347F6" w14:textId="77777777" w:rsidR="003D05E8" w:rsidRDefault="003D05E8" w:rsidP="003D05E8">
      <w:pPr>
        <w:pStyle w:val="Numberedlist"/>
        <w:numPr>
          <w:ilvl w:val="1"/>
          <w:numId w:val="8"/>
        </w:numPr>
      </w:pPr>
      <w:r>
        <w:t>Describe and explain the seasonal trends in the data.</w:t>
      </w:r>
    </w:p>
    <w:p w14:paraId="794C6D5F" w14:textId="77777777" w:rsidR="003D05E8" w:rsidRPr="00CF6051" w:rsidRDefault="003D05E8" w:rsidP="003D05E8">
      <w:pPr>
        <w:pStyle w:val="Numberedlist"/>
        <w:numPr>
          <w:ilvl w:val="0"/>
          <w:numId w:val="0"/>
        </w:numPr>
        <w:ind w:left="1080"/>
        <w:rPr>
          <w:color w:val="0070C0"/>
        </w:rPr>
      </w:pPr>
      <w:r w:rsidRPr="00CF6051">
        <w:rPr>
          <w:color w:val="0070C0"/>
        </w:rPr>
        <w:lastRenderedPageBreak/>
        <w:t>NO</w:t>
      </w:r>
      <w:r w:rsidRPr="00CF6051">
        <w:rPr>
          <w:color w:val="0070C0"/>
          <w:vertAlign w:val="subscript"/>
        </w:rPr>
        <w:t>2</w:t>
      </w:r>
      <w:r w:rsidRPr="00CF6051">
        <w:rPr>
          <w:color w:val="0070C0"/>
        </w:rPr>
        <w:t xml:space="preserve"> measurements are highest in the winter, when people may be more likely to use their cars to get to work and school. As the season turns to spring and </w:t>
      </w:r>
      <w:r>
        <w:rPr>
          <w:color w:val="0070C0"/>
        </w:rPr>
        <w:t xml:space="preserve">then </w:t>
      </w:r>
      <w:r w:rsidRPr="00CF6051">
        <w:rPr>
          <w:color w:val="0070C0"/>
        </w:rPr>
        <w:t>summer</w:t>
      </w:r>
      <w:r>
        <w:rPr>
          <w:color w:val="0070C0"/>
        </w:rPr>
        <w:t>,</w:t>
      </w:r>
      <w:r w:rsidRPr="00CF6051">
        <w:rPr>
          <w:color w:val="0070C0"/>
        </w:rPr>
        <w:t xml:space="preserve"> the NO</w:t>
      </w:r>
      <w:r w:rsidRPr="00CF6051">
        <w:rPr>
          <w:color w:val="0070C0"/>
          <w:vertAlign w:val="subscript"/>
        </w:rPr>
        <w:t>2</w:t>
      </w:r>
      <w:r w:rsidRPr="00CF6051">
        <w:rPr>
          <w:color w:val="0070C0"/>
        </w:rPr>
        <w:t xml:space="preserve"> measuremen</w:t>
      </w:r>
      <w:r>
        <w:rPr>
          <w:color w:val="0070C0"/>
        </w:rPr>
        <w:t xml:space="preserve">ts drop </w:t>
      </w:r>
      <w:r w:rsidRPr="004F4066">
        <w:rPr>
          <w:color w:val="0070C0"/>
        </w:rPr>
        <w:t>–</w:t>
      </w:r>
      <w:r w:rsidRPr="00CF6051">
        <w:rPr>
          <w:color w:val="0070C0"/>
        </w:rPr>
        <w:t xml:space="preserve"> more people may choose to walk or take public transport. </w:t>
      </w:r>
      <w:r>
        <w:rPr>
          <w:color w:val="0070C0"/>
        </w:rPr>
        <w:t>During</w:t>
      </w:r>
      <w:r w:rsidRPr="00CF6051">
        <w:rPr>
          <w:color w:val="0070C0"/>
        </w:rPr>
        <w:t xml:space="preserve"> the summer</w:t>
      </w:r>
      <w:r>
        <w:rPr>
          <w:color w:val="0070C0"/>
        </w:rPr>
        <w:t xml:space="preserve"> holidays</w:t>
      </w:r>
      <w:r w:rsidRPr="00CF6051">
        <w:rPr>
          <w:color w:val="0070C0"/>
        </w:rPr>
        <w:t xml:space="preserve"> the</w:t>
      </w:r>
      <w:r>
        <w:rPr>
          <w:color w:val="0070C0"/>
        </w:rPr>
        <w:t>re is no</w:t>
      </w:r>
      <w:r w:rsidRPr="00CF6051">
        <w:rPr>
          <w:color w:val="0070C0"/>
        </w:rPr>
        <w:t xml:space="preserve"> school traffic</w:t>
      </w:r>
      <w:r>
        <w:rPr>
          <w:color w:val="0070C0"/>
        </w:rPr>
        <w:t>,</w:t>
      </w:r>
      <w:r w:rsidRPr="00CF6051">
        <w:rPr>
          <w:color w:val="0070C0"/>
        </w:rPr>
        <w:t xml:space="preserve"> which lowers the measurements around the primary schools and could also contribute to lower measurements on other roads.</w:t>
      </w:r>
    </w:p>
    <w:p w14:paraId="040CE0E2" w14:textId="77777777" w:rsidR="003D05E8" w:rsidRDefault="003D05E8" w:rsidP="003D05E8">
      <w:pPr>
        <w:pStyle w:val="Numberedlist"/>
        <w:numPr>
          <w:ilvl w:val="0"/>
          <w:numId w:val="0"/>
        </w:numPr>
        <w:ind w:left="1440"/>
      </w:pPr>
    </w:p>
    <w:p w14:paraId="7D1BEBE1" w14:textId="77777777" w:rsidR="003D05E8" w:rsidRDefault="003D05E8" w:rsidP="003D05E8">
      <w:pPr>
        <w:pStyle w:val="Numberedlist"/>
        <w:numPr>
          <w:ilvl w:val="0"/>
          <w:numId w:val="8"/>
        </w:numPr>
      </w:pPr>
      <w:r>
        <w:t>Considering the effect of proximity to the roadside</w:t>
      </w:r>
    </w:p>
    <w:p w14:paraId="33351644" w14:textId="77777777" w:rsidR="003D05E8" w:rsidRDefault="003D05E8" w:rsidP="003D05E8">
      <w:pPr>
        <w:pStyle w:val="Numberedlist"/>
        <w:numPr>
          <w:ilvl w:val="0"/>
          <w:numId w:val="0"/>
        </w:numPr>
        <w:ind w:left="720"/>
      </w:pPr>
      <w:r>
        <w:t xml:space="preserve">Two diffusion tubes were placed in different locations on </w:t>
      </w:r>
      <w:proofErr w:type="spellStart"/>
      <w:r>
        <w:t>Zoar</w:t>
      </w:r>
      <w:proofErr w:type="spellEnd"/>
      <w:r>
        <w:t xml:space="preserve"> Street.</w:t>
      </w:r>
    </w:p>
    <w:p w14:paraId="16A40E8A" w14:textId="77777777" w:rsidR="003D05E8" w:rsidRDefault="003D05E8" w:rsidP="003D05E8">
      <w:pPr>
        <w:pStyle w:val="Numberedlist"/>
        <w:numPr>
          <w:ilvl w:val="1"/>
          <w:numId w:val="8"/>
        </w:numPr>
      </w:pPr>
      <w:r>
        <w:t>Evaluate the data for the two locations and choose a way to represent it graphically.</w:t>
      </w:r>
    </w:p>
    <w:p w14:paraId="2ECE83D3" w14:textId="77777777" w:rsidR="003D05E8" w:rsidRDefault="003D05E8" w:rsidP="003D05E8">
      <w:pPr>
        <w:pStyle w:val="Numberedlist"/>
        <w:numPr>
          <w:ilvl w:val="0"/>
          <w:numId w:val="0"/>
        </w:numPr>
        <w:ind w:left="1080"/>
      </w:pPr>
      <w:r>
        <w:rPr>
          <w:noProof/>
          <w:lang w:eastAsia="en-GB"/>
        </w:rPr>
        <w:drawing>
          <wp:inline distT="0" distB="0" distL="0" distR="0" wp14:anchorId="12A466E1" wp14:editId="480B89D9">
            <wp:extent cx="4572000" cy="2743200"/>
            <wp:effectExtent l="0" t="0" r="0" b="0"/>
            <wp:docPr id="1" name="Chart 1">
              <a:extLst xmlns:a="http://schemas.openxmlformats.org/drawingml/2006/main">
                <a:ext uri="{FF2B5EF4-FFF2-40B4-BE49-F238E27FC236}">
                  <a16:creationId xmlns:a16="http://schemas.microsoft.com/office/drawing/2014/main" id="{3D63D00E-3573-47ED-9CCB-6CB065A8AB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A3F844" w14:textId="77777777" w:rsidR="003D05E8" w:rsidRDefault="003D05E8" w:rsidP="003D05E8">
      <w:pPr>
        <w:pStyle w:val="Numberedlist"/>
        <w:numPr>
          <w:ilvl w:val="0"/>
          <w:numId w:val="0"/>
        </w:numPr>
        <w:ind w:left="1080"/>
      </w:pPr>
    </w:p>
    <w:p w14:paraId="04780E8A" w14:textId="77777777" w:rsidR="003D05E8" w:rsidRDefault="003D05E8" w:rsidP="003D05E8">
      <w:pPr>
        <w:pStyle w:val="Numberedlist"/>
        <w:numPr>
          <w:ilvl w:val="0"/>
          <w:numId w:val="0"/>
        </w:numPr>
        <w:ind w:left="1080"/>
      </w:pPr>
      <w:r>
        <w:rPr>
          <w:noProof/>
          <w:lang w:eastAsia="en-GB"/>
        </w:rPr>
        <w:drawing>
          <wp:inline distT="0" distB="0" distL="0" distR="0" wp14:anchorId="7DB427F0" wp14:editId="036D27CA">
            <wp:extent cx="4572000" cy="2743200"/>
            <wp:effectExtent l="0" t="0" r="0" b="0"/>
            <wp:docPr id="3" name="Chart 3">
              <a:extLst xmlns:a="http://schemas.openxmlformats.org/drawingml/2006/main">
                <a:ext uri="{FF2B5EF4-FFF2-40B4-BE49-F238E27FC236}">
                  <a16:creationId xmlns:a16="http://schemas.microsoft.com/office/drawing/2014/main" id="{D8ABFBB3-5C84-45A1-B071-05A04E878F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CD282B4" w14:textId="77777777" w:rsidR="003D05E8" w:rsidRDefault="003D05E8" w:rsidP="003D05E8">
      <w:pPr>
        <w:pStyle w:val="Numberedlist"/>
        <w:numPr>
          <w:ilvl w:val="0"/>
          <w:numId w:val="0"/>
        </w:numPr>
        <w:ind w:left="1080"/>
      </w:pPr>
    </w:p>
    <w:p w14:paraId="02ECDA35" w14:textId="77777777" w:rsidR="003D05E8" w:rsidRDefault="003D05E8" w:rsidP="003D05E8">
      <w:pPr>
        <w:pStyle w:val="Numberedlist"/>
        <w:numPr>
          <w:ilvl w:val="1"/>
          <w:numId w:val="8"/>
        </w:numPr>
      </w:pPr>
      <w:r>
        <w:t>Describe and explain the trends seen.</w:t>
      </w:r>
    </w:p>
    <w:p w14:paraId="537BDA2D" w14:textId="77777777" w:rsidR="003D05E8" w:rsidRPr="00F238F1" w:rsidRDefault="003D05E8" w:rsidP="003D05E8">
      <w:pPr>
        <w:pStyle w:val="Numberedlist"/>
        <w:numPr>
          <w:ilvl w:val="0"/>
          <w:numId w:val="0"/>
        </w:numPr>
        <w:ind w:left="1080"/>
        <w:rPr>
          <w:color w:val="0070C0"/>
        </w:rPr>
      </w:pPr>
      <w:r w:rsidRPr="00F238F1">
        <w:rPr>
          <w:color w:val="0070C0"/>
        </w:rPr>
        <w:t>Throughout the year the NO</w:t>
      </w:r>
      <w:r w:rsidRPr="00F238F1">
        <w:rPr>
          <w:color w:val="0070C0"/>
          <w:vertAlign w:val="subscript"/>
        </w:rPr>
        <w:t>2</w:t>
      </w:r>
      <w:r w:rsidRPr="00F238F1">
        <w:rPr>
          <w:color w:val="0070C0"/>
        </w:rPr>
        <w:t xml:space="preserve"> levels in the background site are lower than those at the roadside. This is because more NO</w:t>
      </w:r>
      <w:r w:rsidRPr="00F238F1">
        <w:rPr>
          <w:color w:val="0070C0"/>
          <w:vertAlign w:val="subscript"/>
        </w:rPr>
        <w:t>2</w:t>
      </w:r>
      <w:r w:rsidRPr="00F238F1">
        <w:rPr>
          <w:color w:val="0070C0"/>
        </w:rPr>
        <w:t xml:space="preserve"> is present at the roadside due to vehicular traffic. The gap between the measurements is roughly the same</w:t>
      </w:r>
      <w:r>
        <w:rPr>
          <w:color w:val="0070C0"/>
        </w:rPr>
        <w:t>,</w:t>
      </w:r>
      <w:r w:rsidRPr="00F238F1">
        <w:rPr>
          <w:color w:val="0070C0"/>
        </w:rPr>
        <w:t xml:space="preserve"> except in October when the value for the roadside site was lower than the trend suggests. This could be an anomalous result from the diffusion tube o</w:t>
      </w:r>
      <w:r>
        <w:rPr>
          <w:color w:val="0070C0"/>
        </w:rPr>
        <w:t>r there could have been a one-off event such as</w:t>
      </w:r>
      <w:r w:rsidRPr="00F238F1">
        <w:rPr>
          <w:color w:val="0070C0"/>
        </w:rPr>
        <w:t xml:space="preserve"> a road closure.</w:t>
      </w:r>
    </w:p>
    <w:p w14:paraId="516DCFA8" w14:textId="77777777" w:rsidR="003D05E8" w:rsidRDefault="003D05E8" w:rsidP="003D05E8">
      <w:pPr>
        <w:pStyle w:val="Numberedlist"/>
        <w:numPr>
          <w:ilvl w:val="0"/>
          <w:numId w:val="0"/>
        </w:numPr>
        <w:ind w:left="340" w:hanging="340"/>
      </w:pPr>
    </w:p>
    <w:p w14:paraId="7CC452AB" w14:textId="77777777" w:rsidR="003D05E8" w:rsidRDefault="003D05E8" w:rsidP="003D05E8"/>
    <w:p w14:paraId="416654EB" w14:textId="2D3115B3" w:rsidR="007705C4" w:rsidRDefault="007705C4" w:rsidP="003D05E8">
      <w:pPr>
        <w:pStyle w:val="Leadparagraph"/>
      </w:pPr>
    </w:p>
    <w:sectPr w:rsidR="007705C4" w:rsidSect="00E331A7">
      <w:footerReference w:type="default" r:id="rId14"/>
      <w:headerReference w:type="first" r:id="rId15"/>
      <w:footerReference w:type="first" r:id="rId16"/>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52611EC6"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F848DB">
      <w:rPr>
        <w:noProof/>
        <w:sz w:val="16"/>
      </w:rPr>
      <w:t>3</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F848DB">
      <w:rPr>
        <w:noProof/>
        <w:sz w:val="16"/>
      </w:rPr>
      <w:t>3</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654984BA"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F848D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F848DB">
      <w:rPr>
        <w:noProof/>
        <w:sz w:val="16"/>
      </w:rPr>
      <w:t>3</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183417BF" w:rsidR="00343CBA" w:rsidRDefault="00C2143A" w:rsidP="009875B2">
    <w:pPr>
      <w:pStyle w:val="Header"/>
      <w:jc w:val="right"/>
    </w:pPr>
    <w:r>
      <w:rPr>
        <w:noProof/>
        <w:lang w:eastAsia="en-GB"/>
      </w:rPr>
      <w:pict w14:anchorId="0DE9A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3pt;height:96.3pt">
          <v:imagedata r:id="rId1" o:title="EiC-logo_plum_1000"/>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6"/>
    <w:lvlOverride w:ilvl="0">
      <w:startOverride w:val="2"/>
    </w:lvlOverride>
  </w:num>
  <w:num w:numId="6">
    <w:abstractNumId w:val="5"/>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01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05E8"/>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20041"/>
    <w:rsid w:val="00B57B2A"/>
    <w:rsid w:val="00BA512C"/>
    <w:rsid w:val="00BB1F22"/>
    <w:rsid w:val="00C17DDC"/>
    <w:rsid w:val="00C2143A"/>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848DB"/>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udley.gov.uk/media/7186/air-qual-excel.xl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rsc.li/2QENEh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Example bar chart</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Sheet1!$A$9:$B$9</c:f>
              <c:strCache>
                <c:ptCount val="2"/>
                <c:pt idx="0">
                  <c:v>Redhall Primary, Zoar St</c:v>
                </c:pt>
                <c:pt idx="1">
                  <c:v>Background</c:v>
                </c:pt>
              </c:strCache>
            </c:strRef>
          </c:tx>
          <c:spPr>
            <a:solidFill>
              <a:schemeClr val="accent1"/>
            </a:solidFill>
            <a:ln>
              <a:noFill/>
            </a:ln>
            <a:effectLst/>
          </c:spPr>
          <c:invertIfNegative val="0"/>
          <c:val>
            <c:numRef>
              <c:f>Sheet1!$C$9:$N$9</c:f>
              <c:numCache>
                <c:formatCode>General</c:formatCode>
                <c:ptCount val="12"/>
                <c:pt idx="0">
                  <c:v>30.38</c:v>
                </c:pt>
                <c:pt idx="1">
                  <c:v>24.82</c:v>
                </c:pt>
                <c:pt idx="2">
                  <c:v>21.64</c:v>
                </c:pt>
                <c:pt idx="3">
                  <c:v>19</c:v>
                </c:pt>
                <c:pt idx="4">
                  <c:v>13.07</c:v>
                </c:pt>
                <c:pt idx="5">
                  <c:v>12.54</c:v>
                </c:pt>
                <c:pt idx="6">
                  <c:v>11.38</c:v>
                </c:pt>
                <c:pt idx="7">
                  <c:v>14.9</c:v>
                </c:pt>
                <c:pt idx="8">
                  <c:v>17.71</c:v>
                </c:pt>
                <c:pt idx="9">
                  <c:v>20.94</c:v>
                </c:pt>
                <c:pt idx="10">
                  <c:v>30.57</c:v>
                </c:pt>
              </c:numCache>
            </c:numRef>
          </c:val>
          <c:extLst>
            <c:ext xmlns:c16="http://schemas.microsoft.com/office/drawing/2014/chart" uri="{C3380CC4-5D6E-409C-BE32-E72D297353CC}">
              <c16:uniqueId val="{00000000-F91B-4147-A1C2-1B2D3F3120C4}"/>
            </c:ext>
          </c:extLst>
        </c:ser>
        <c:ser>
          <c:idx val="1"/>
          <c:order val="1"/>
          <c:tx>
            <c:strRef>
              <c:f>Sheet1!$A$11:$B$11</c:f>
              <c:strCache>
                <c:ptCount val="2"/>
                <c:pt idx="0">
                  <c:v>Zoar Street</c:v>
                </c:pt>
                <c:pt idx="1">
                  <c:v>Roadside</c:v>
                </c:pt>
              </c:strCache>
            </c:strRef>
          </c:tx>
          <c:spPr>
            <a:solidFill>
              <a:schemeClr val="accent2"/>
            </a:solidFill>
            <a:ln>
              <a:noFill/>
            </a:ln>
            <a:effectLst/>
          </c:spPr>
          <c:invertIfNegative val="0"/>
          <c:val>
            <c:numRef>
              <c:f>Sheet1!$C$11:$N$11</c:f>
              <c:numCache>
                <c:formatCode>General</c:formatCode>
                <c:ptCount val="12"/>
                <c:pt idx="0">
                  <c:v>48.7</c:v>
                </c:pt>
                <c:pt idx="1">
                  <c:v>44.67</c:v>
                </c:pt>
                <c:pt idx="2">
                  <c:v>39.479999999999997</c:v>
                </c:pt>
                <c:pt idx="3">
                  <c:v>34.229999999999997</c:v>
                </c:pt>
                <c:pt idx="4">
                  <c:v>32.340000000000003</c:v>
                </c:pt>
                <c:pt idx="5">
                  <c:v>29.37</c:v>
                </c:pt>
                <c:pt idx="6">
                  <c:v>22.36</c:v>
                </c:pt>
                <c:pt idx="7">
                  <c:v>27.4</c:v>
                </c:pt>
                <c:pt idx="8">
                  <c:v>33.869999999999997</c:v>
                </c:pt>
                <c:pt idx="9">
                  <c:v>28.5</c:v>
                </c:pt>
                <c:pt idx="10">
                  <c:v>40.090000000000003</c:v>
                </c:pt>
                <c:pt idx="11">
                  <c:v>44.25</c:v>
                </c:pt>
              </c:numCache>
            </c:numRef>
          </c:val>
          <c:extLst>
            <c:ext xmlns:c16="http://schemas.microsoft.com/office/drawing/2014/chart" uri="{C3380CC4-5D6E-409C-BE32-E72D297353CC}">
              <c16:uniqueId val="{00000001-F91B-4147-A1C2-1B2D3F3120C4}"/>
            </c:ext>
          </c:extLst>
        </c:ser>
        <c:dLbls>
          <c:showLegendKey val="0"/>
          <c:showVal val="0"/>
          <c:showCatName val="0"/>
          <c:showSerName val="0"/>
          <c:showPercent val="0"/>
          <c:showBubbleSize val="0"/>
        </c:dLbls>
        <c:gapWidth val="219"/>
        <c:overlap val="-27"/>
        <c:axId val="434148272"/>
        <c:axId val="640879184"/>
      </c:barChart>
      <c:catAx>
        <c:axId val="434148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879184"/>
        <c:crosses val="autoZero"/>
        <c:auto val="1"/>
        <c:lblAlgn val="ctr"/>
        <c:lblOffset val="100"/>
        <c:noMultiLvlLbl val="0"/>
      </c:catAx>
      <c:valAx>
        <c:axId val="640879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1482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Example line/scatter graph</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Sheet1!$A$9:$B$9</c:f>
              <c:strCache>
                <c:ptCount val="2"/>
                <c:pt idx="0">
                  <c:v>Redhall Primary, Zoar St</c:v>
                </c:pt>
                <c:pt idx="1">
                  <c:v>Background</c:v>
                </c:pt>
              </c:strCache>
            </c:strRef>
          </c:tx>
          <c:spPr>
            <a:ln w="28575" cap="rnd">
              <a:solidFill>
                <a:schemeClr val="accent1"/>
              </a:solidFill>
              <a:round/>
            </a:ln>
            <a:effectLst/>
          </c:spPr>
          <c:marker>
            <c:symbol val="none"/>
          </c:marker>
          <c:val>
            <c:numRef>
              <c:f>Sheet1!$C$9:$N$9</c:f>
              <c:numCache>
                <c:formatCode>General</c:formatCode>
                <c:ptCount val="12"/>
                <c:pt idx="0">
                  <c:v>30.38</c:v>
                </c:pt>
                <c:pt idx="1">
                  <c:v>24.82</c:v>
                </c:pt>
                <c:pt idx="2">
                  <c:v>21.64</c:v>
                </c:pt>
                <c:pt idx="3">
                  <c:v>19</c:v>
                </c:pt>
                <c:pt idx="4">
                  <c:v>13.07</c:v>
                </c:pt>
                <c:pt idx="5">
                  <c:v>12.54</c:v>
                </c:pt>
                <c:pt idx="6">
                  <c:v>11.38</c:v>
                </c:pt>
                <c:pt idx="7">
                  <c:v>14.9</c:v>
                </c:pt>
                <c:pt idx="8">
                  <c:v>17.71</c:v>
                </c:pt>
                <c:pt idx="9">
                  <c:v>20.94</c:v>
                </c:pt>
                <c:pt idx="10">
                  <c:v>30.57</c:v>
                </c:pt>
              </c:numCache>
            </c:numRef>
          </c:val>
          <c:smooth val="0"/>
          <c:extLst>
            <c:ext xmlns:c16="http://schemas.microsoft.com/office/drawing/2014/chart" uri="{C3380CC4-5D6E-409C-BE32-E72D297353CC}">
              <c16:uniqueId val="{00000000-E35C-4E3D-8021-45A3830A1A25}"/>
            </c:ext>
          </c:extLst>
        </c:ser>
        <c:ser>
          <c:idx val="1"/>
          <c:order val="1"/>
          <c:tx>
            <c:strRef>
              <c:f>Sheet1!$A$11:$B$11</c:f>
              <c:strCache>
                <c:ptCount val="2"/>
                <c:pt idx="0">
                  <c:v>Zoar Street</c:v>
                </c:pt>
                <c:pt idx="1">
                  <c:v>Roadside</c:v>
                </c:pt>
              </c:strCache>
            </c:strRef>
          </c:tx>
          <c:spPr>
            <a:ln w="28575" cap="rnd">
              <a:solidFill>
                <a:schemeClr val="accent2"/>
              </a:solidFill>
              <a:round/>
            </a:ln>
            <a:effectLst/>
          </c:spPr>
          <c:marker>
            <c:symbol val="none"/>
          </c:marker>
          <c:val>
            <c:numRef>
              <c:f>Sheet1!$C$11:$N$11</c:f>
              <c:numCache>
                <c:formatCode>General</c:formatCode>
                <c:ptCount val="12"/>
                <c:pt idx="0">
                  <c:v>48.7</c:v>
                </c:pt>
                <c:pt idx="1">
                  <c:v>44.67</c:v>
                </c:pt>
                <c:pt idx="2">
                  <c:v>39.479999999999997</c:v>
                </c:pt>
                <c:pt idx="3">
                  <c:v>34.229999999999997</c:v>
                </c:pt>
                <c:pt idx="4">
                  <c:v>32.340000000000003</c:v>
                </c:pt>
                <c:pt idx="5">
                  <c:v>29.37</c:v>
                </c:pt>
                <c:pt idx="6">
                  <c:v>22.36</c:v>
                </c:pt>
                <c:pt idx="7">
                  <c:v>27.4</c:v>
                </c:pt>
                <c:pt idx="8">
                  <c:v>33.869999999999997</c:v>
                </c:pt>
                <c:pt idx="9">
                  <c:v>28.5</c:v>
                </c:pt>
                <c:pt idx="10">
                  <c:v>40.090000000000003</c:v>
                </c:pt>
                <c:pt idx="11">
                  <c:v>44.25</c:v>
                </c:pt>
              </c:numCache>
            </c:numRef>
          </c:val>
          <c:smooth val="0"/>
          <c:extLst>
            <c:ext xmlns:c16="http://schemas.microsoft.com/office/drawing/2014/chart" uri="{C3380CC4-5D6E-409C-BE32-E72D297353CC}">
              <c16:uniqueId val="{00000001-E35C-4E3D-8021-45A3830A1A25}"/>
            </c:ext>
          </c:extLst>
        </c:ser>
        <c:dLbls>
          <c:showLegendKey val="0"/>
          <c:showVal val="0"/>
          <c:showCatName val="0"/>
          <c:showSerName val="0"/>
          <c:showPercent val="0"/>
          <c:showBubbleSize val="0"/>
        </c:dLbls>
        <c:smooth val="0"/>
        <c:axId val="429811080"/>
        <c:axId val="429811736"/>
      </c:lineChart>
      <c:catAx>
        <c:axId val="429811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9811736"/>
        <c:crosses val="autoZero"/>
        <c:auto val="1"/>
        <c:lblAlgn val="ctr"/>
        <c:lblOffset val="100"/>
        <c:noMultiLvlLbl val="0"/>
      </c:catAx>
      <c:valAx>
        <c:axId val="429811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98110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02427AC-40FE-4BBA-B06D-BC332C186A7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27d643f5-4560-4eff-9f48-d0fe6b2bec2d"/>
    <ds:schemaRef ds:uri="http://www.w3.org/XML/1998/namespace"/>
    <ds:schemaRef ds:uri="http://purl.org/dc/dcmitype/"/>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[Resource title]</vt:lpstr>
    </vt:vector>
  </TitlesOfParts>
  <Company>Royal Society of Chemistry</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Assessing pollution levels: teacher notes</dc:title>
  <dc:subject>Demonstration silver acetylide as a contact explosive</dc:subject>
  <dc:creator>Royal Society of Chemistry</dc:creator>
  <dc:description>From How do trees clean our air?, Education in Chemistry, rsc.li/2QENEhe</dc:description>
  <cp:lastModifiedBy>Lisa Clatworthy</cp:lastModifiedBy>
  <cp:revision>6</cp:revision>
  <dcterms:created xsi:type="dcterms:W3CDTF">2019-05-30T12:44:00Z</dcterms:created>
  <dcterms:modified xsi:type="dcterms:W3CDTF">2020-01-02T09:45:00Z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