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E1A37" w14:textId="2A9A07B0" w:rsidR="009C6C7F" w:rsidRDefault="00EE1EE1" w:rsidP="006E6495">
      <w:pPr>
        <w:pStyle w:val="Heading1"/>
      </w:pPr>
      <w:r>
        <w:t xml:space="preserve">The determination of copper in brass – </w:t>
      </w:r>
      <w:r w:rsidR="00B37FEF">
        <w:t>teacher notes</w:t>
      </w:r>
    </w:p>
    <w:p w14:paraId="05E99D91" w14:textId="6E4E89A8" w:rsidR="00C611F9" w:rsidRDefault="00C611F9" w:rsidP="00C611F9"/>
    <w:p w14:paraId="5603E4E5" w14:textId="1FEFD04D" w:rsidR="00C611F9" w:rsidRDefault="00C611F9" w:rsidP="00C611F9">
      <w:r>
        <w:t xml:space="preserve">In this experiment </w:t>
      </w:r>
      <w:r w:rsidR="00B37FEF">
        <w:t>students find</w:t>
      </w:r>
      <w:r>
        <w:t xml:space="preserve"> out how much copper there is in brass (an alloy of copper and zinc). </w:t>
      </w:r>
      <w:r w:rsidR="00B37FEF">
        <w:t xml:space="preserve">They </w:t>
      </w:r>
      <w:r>
        <w:t>dissolve the brass in nitric acid and compare the colour of the solution with that of solutions of various concentrations of copper.</w:t>
      </w:r>
    </w:p>
    <w:p w14:paraId="4E16ECB1" w14:textId="60833085" w:rsidR="009A5665" w:rsidRDefault="009A5665" w:rsidP="00C611F9"/>
    <w:p w14:paraId="23E93F93" w14:textId="251BF516" w:rsidR="009A5665" w:rsidRDefault="009A5665" w:rsidP="00A7339A">
      <w:r w:rsidRPr="009A5665">
        <w:t>The experiment has possibilities for use as an assessed practical. Two versions of the student worksheet are available – versions A and B. In version A, students are guided through the calculations at the end. This version could be used to assess skills in doing the experiment/following instructions. In version B no help is given with the calculations. This version could be used to assess skills in the treatment of results.</w:t>
      </w:r>
    </w:p>
    <w:p w14:paraId="7B16550C" w14:textId="22C9A4A6" w:rsidR="00C611F9" w:rsidRDefault="00C611F9" w:rsidP="00C611F9"/>
    <w:p w14:paraId="7BB98E89" w14:textId="0DD55C54" w:rsidR="001D7E15" w:rsidRDefault="00B37FEF" w:rsidP="00B37FEF">
      <w:r>
        <w:t>Students</w:t>
      </w:r>
      <w:r w:rsidR="00C611F9">
        <w:t xml:space="preserve"> must wear appropriate eye protection.</w:t>
      </w:r>
    </w:p>
    <w:p w14:paraId="4D43C74D" w14:textId="58335985" w:rsidR="00B37FEF" w:rsidRDefault="00C62DC1" w:rsidP="00B37FEF">
      <w:pPr>
        <w:pStyle w:val="Heading2"/>
      </w:pPr>
      <w:r>
        <w:t>Topic</w:t>
      </w:r>
    </w:p>
    <w:p w14:paraId="44FE2BB2" w14:textId="65DF171D" w:rsidR="00C62DC1" w:rsidRDefault="00C62DC1" w:rsidP="00C62DC1"/>
    <w:p w14:paraId="26D2BFA0" w14:textId="3370A969" w:rsidR="00C62DC1" w:rsidRDefault="00C62DC1" w:rsidP="00C62DC1">
      <w:r>
        <w:t>Metals – chemical analysis</w:t>
      </w:r>
    </w:p>
    <w:p w14:paraId="0034AC5E" w14:textId="707E9987" w:rsidR="00C62DC1" w:rsidRDefault="00C62DC1" w:rsidP="00C62DC1">
      <w:pPr>
        <w:pStyle w:val="Heading2"/>
      </w:pPr>
      <w:r>
        <w:t>Timing</w:t>
      </w:r>
    </w:p>
    <w:p w14:paraId="43D4B3C6" w14:textId="520183C7" w:rsidR="00C62DC1" w:rsidRDefault="00C62DC1" w:rsidP="00C62DC1"/>
    <w:p w14:paraId="1F2942C2" w14:textId="658B16AD" w:rsidR="00C62DC1" w:rsidRDefault="00C62DC1" w:rsidP="00C62DC1">
      <w:r>
        <w:t>25 minutes</w:t>
      </w:r>
    </w:p>
    <w:p w14:paraId="7C85CB8E" w14:textId="207830E4" w:rsidR="00C62DC1" w:rsidRDefault="009A5665" w:rsidP="009A5665">
      <w:pPr>
        <w:pStyle w:val="Heading2"/>
      </w:pPr>
      <w:r>
        <w:t>Equipment</w:t>
      </w:r>
    </w:p>
    <w:p w14:paraId="3DF85460" w14:textId="7AC9AD87" w:rsidR="009A5665" w:rsidRDefault="009A5665" w:rsidP="009A5665"/>
    <w:p w14:paraId="26131F43" w14:textId="28CFD71F" w:rsidR="009A5665" w:rsidRDefault="009A5665" w:rsidP="009A5665">
      <w:pPr>
        <w:pStyle w:val="Heading3"/>
      </w:pPr>
      <w:r>
        <w:t>Apparatus</w:t>
      </w:r>
    </w:p>
    <w:p w14:paraId="487C7C47" w14:textId="6AB89C96" w:rsidR="009A5665" w:rsidRDefault="009A5665" w:rsidP="009A5665"/>
    <w:p w14:paraId="4525E3B0" w14:textId="53E02013" w:rsidR="00F85B27" w:rsidRDefault="00F85B27" w:rsidP="006B6531">
      <w:pPr>
        <w:numPr>
          <w:ilvl w:val="0"/>
          <w:numId w:val="14"/>
        </w:numPr>
        <w:spacing w:after="120"/>
        <w:ind w:left="714" w:hanging="357"/>
      </w:pPr>
      <w:r>
        <w:t>Eye protection</w:t>
      </w:r>
    </w:p>
    <w:p w14:paraId="38332E4C" w14:textId="7DB5DE81" w:rsidR="006B6531" w:rsidRPr="006B6531" w:rsidRDefault="006B6531" w:rsidP="006B6531">
      <w:pPr>
        <w:numPr>
          <w:ilvl w:val="0"/>
          <w:numId w:val="14"/>
        </w:numPr>
        <w:spacing w:after="120"/>
        <w:ind w:left="714" w:hanging="357"/>
      </w:pPr>
      <w:r w:rsidRPr="006B6531">
        <w:t>Student worksheet</w:t>
      </w:r>
    </w:p>
    <w:p w14:paraId="1E83FD0B" w14:textId="77777777" w:rsidR="006B6531" w:rsidRPr="006B6531" w:rsidRDefault="006B6531" w:rsidP="006B6531">
      <w:pPr>
        <w:numPr>
          <w:ilvl w:val="0"/>
          <w:numId w:val="14"/>
        </w:numPr>
        <w:spacing w:after="120"/>
        <w:ind w:left="714" w:hanging="357"/>
      </w:pPr>
      <w:r w:rsidRPr="006B6531">
        <w:t>Sheet of white paper</w:t>
      </w:r>
    </w:p>
    <w:p w14:paraId="488F43E5" w14:textId="77777777" w:rsidR="006B6531" w:rsidRPr="006B6531" w:rsidRDefault="006B6531" w:rsidP="006B6531">
      <w:pPr>
        <w:numPr>
          <w:ilvl w:val="0"/>
          <w:numId w:val="14"/>
        </w:numPr>
        <w:spacing w:after="120"/>
        <w:ind w:left="714" w:hanging="357"/>
      </w:pPr>
      <w:r w:rsidRPr="006B6531">
        <w:t>Access to a balance</w:t>
      </w:r>
    </w:p>
    <w:p w14:paraId="3B2C8B2C" w14:textId="77777777" w:rsidR="006B6531" w:rsidRPr="006B6531" w:rsidRDefault="006B6531" w:rsidP="006B6531">
      <w:pPr>
        <w:numPr>
          <w:ilvl w:val="0"/>
          <w:numId w:val="14"/>
        </w:numPr>
        <w:spacing w:after="120"/>
        <w:ind w:left="714" w:hanging="357"/>
      </w:pPr>
      <w:r w:rsidRPr="006B6531">
        <w:t>Access to a fume cupboard</w:t>
      </w:r>
    </w:p>
    <w:p w14:paraId="36E3EECD" w14:textId="77777777" w:rsidR="006B6531" w:rsidRPr="006B6531" w:rsidRDefault="006B6531" w:rsidP="006B6531">
      <w:pPr>
        <w:numPr>
          <w:ilvl w:val="0"/>
          <w:numId w:val="14"/>
        </w:numPr>
        <w:spacing w:after="120"/>
        <w:ind w:left="714" w:hanging="357"/>
      </w:pPr>
      <w:r w:rsidRPr="006B6531">
        <w:t>Beaker, 10 cm</w:t>
      </w:r>
      <w:r w:rsidRPr="006B6531">
        <w:rPr>
          <w:vertAlign w:val="superscript"/>
        </w:rPr>
        <w:t>3</w:t>
      </w:r>
    </w:p>
    <w:p w14:paraId="614D03D0" w14:textId="77777777" w:rsidR="006B6531" w:rsidRPr="006B6531" w:rsidRDefault="006B6531" w:rsidP="006B6531">
      <w:pPr>
        <w:numPr>
          <w:ilvl w:val="0"/>
          <w:numId w:val="14"/>
        </w:numPr>
        <w:spacing w:after="120"/>
        <w:ind w:left="714" w:hanging="357"/>
      </w:pPr>
      <w:r w:rsidRPr="006B6531">
        <w:t>Volumetric flask, 10 cm</w:t>
      </w:r>
      <w:r w:rsidRPr="006B6531">
        <w:rPr>
          <w:vertAlign w:val="superscript"/>
        </w:rPr>
        <w:t>3</w:t>
      </w:r>
    </w:p>
    <w:p w14:paraId="62983E7E" w14:textId="77777777" w:rsidR="006B6531" w:rsidRPr="006B6531" w:rsidRDefault="006B6531" w:rsidP="006B6531">
      <w:pPr>
        <w:numPr>
          <w:ilvl w:val="0"/>
          <w:numId w:val="14"/>
        </w:numPr>
        <w:spacing w:after="120"/>
        <w:ind w:left="714" w:hanging="357"/>
      </w:pPr>
      <w:r w:rsidRPr="006B6531">
        <w:t>Plastic well-plate, 24 wells (eg Sigma ref: CLS3526)</w:t>
      </w:r>
    </w:p>
    <w:p w14:paraId="05A25240" w14:textId="77777777" w:rsidR="006B6531" w:rsidRPr="006B6531" w:rsidRDefault="006B6531" w:rsidP="006B6531">
      <w:pPr>
        <w:numPr>
          <w:ilvl w:val="0"/>
          <w:numId w:val="14"/>
        </w:numPr>
        <w:spacing w:after="120"/>
        <w:ind w:left="714" w:hanging="357"/>
      </w:pPr>
      <w:r w:rsidRPr="006B6531">
        <w:t xml:space="preserve">Plastic pipette (eg Aldrich ref: Z13, 503-8, </w:t>
      </w:r>
      <w:proofErr w:type="gramStart"/>
      <w:r w:rsidRPr="006B6531">
        <w:t>fine-tip</w:t>
      </w:r>
      <w:proofErr w:type="gramEnd"/>
      <w:r w:rsidRPr="006B6531">
        <w:t>)</w:t>
      </w:r>
    </w:p>
    <w:p w14:paraId="475C1CCE" w14:textId="2923217C" w:rsidR="009A5665" w:rsidRDefault="009A5665" w:rsidP="009A5665"/>
    <w:p w14:paraId="43C86119" w14:textId="788E2C08" w:rsidR="006B6531" w:rsidRDefault="006B6531" w:rsidP="006B6531">
      <w:pPr>
        <w:pStyle w:val="Heading3"/>
      </w:pPr>
      <w:r>
        <w:t>Chemicals</w:t>
      </w:r>
    </w:p>
    <w:p w14:paraId="013C296B" w14:textId="7C0DA0BE" w:rsidR="006B6531" w:rsidRDefault="006B6531" w:rsidP="006B6531"/>
    <w:p w14:paraId="31DCA60A" w14:textId="4AFB9C9C" w:rsidR="006B6531" w:rsidRPr="006B6531" w:rsidRDefault="0026538E" w:rsidP="006B6531">
      <w:r w:rsidRPr="002E4EF0">
        <w:t>Solutions should be contained in plastic pipettes – see the accompanying guidance on apparatus and techniques for microscale chemistry</w:t>
      </w:r>
      <w:r>
        <w:t xml:space="preserve"> (</w:t>
      </w:r>
      <w:hyperlink r:id="rId11" w:history="1">
        <w:r w:rsidRPr="0032376A">
          <w:rPr>
            <w:rStyle w:val="Hyperlink"/>
          </w:rPr>
          <w:t>https://rsc.li/3xJYLKh</w:t>
        </w:r>
      </w:hyperlink>
      <w:r>
        <w:t>)</w:t>
      </w:r>
      <w:r w:rsidR="00536D83">
        <w:t>, which includes instructions for preparing solutions.</w:t>
      </w:r>
    </w:p>
    <w:p w14:paraId="3C6BA959" w14:textId="094C98B2" w:rsidR="006B6531" w:rsidRDefault="006B6531" w:rsidP="006B6531"/>
    <w:p w14:paraId="6065457B" w14:textId="77777777" w:rsidR="006B6531" w:rsidRPr="006B6531" w:rsidRDefault="006B6531" w:rsidP="006B6531">
      <w:pPr>
        <w:numPr>
          <w:ilvl w:val="0"/>
          <w:numId w:val="15"/>
        </w:numPr>
        <w:spacing w:after="120"/>
        <w:ind w:left="714" w:hanging="357"/>
      </w:pPr>
      <w:r w:rsidRPr="006B6531">
        <w:t>Nitric acid, 5 mol dm</w:t>
      </w:r>
      <w:r w:rsidRPr="006B6531">
        <w:rPr>
          <w:vertAlign w:val="superscript"/>
        </w:rPr>
        <w:t>–3</w:t>
      </w:r>
    </w:p>
    <w:p w14:paraId="2827576D" w14:textId="77777777" w:rsidR="006B6531" w:rsidRPr="006B6531" w:rsidRDefault="006B6531" w:rsidP="006B6531">
      <w:pPr>
        <w:numPr>
          <w:ilvl w:val="0"/>
          <w:numId w:val="15"/>
        </w:numPr>
        <w:spacing w:after="120"/>
        <w:ind w:left="714" w:hanging="357"/>
      </w:pPr>
      <w:r w:rsidRPr="006B6531">
        <w:t>Deionised water</w:t>
      </w:r>
    </w:p>
    <w:p w14:paraId="0851BEFA" w14:textId="77777777" w:rsidR="006B6531" w:rsidRPr="006B6531" w:rsidRDefault="006B6531" w:rsidP="006B6531">
      <w:pPr>
        <w:numPr>
          <w:ilvl w:val="0"/>
          <w:numId w:val="15"/>
        </w:numPr>
        <w:spacing w:after="120"/>
        <w:ind w:left="714" w:hanging="357"/>
      </w:pPr>
      <w:r w:rsidRPr="006B6531">
        <w:t>Copper nitrate solution, 0.50 mol dm</w:t>
      </w:r>
      <w:r w:rsidRPr="006B6531">
        <w:rPr>
          <w:vertAlign w:val="superscript"/>
        </w:rPr>
        <w:t>–3</w:t>
      </w:r>
    </w:p>
    <w:p w14:paraId="7711CD9F" w14:textId="7978C287" w:rsidR="00814DC1" w:rsidRPr="006B6531" w:rsidRDefault="006B6531" w:rsidP="00814DC1">
      <w:pPr>
        <w:numPr>
          <w:ilvl w:val="0"/>
          <w:numId w:val="15"/>
        </w:numPr>
        <w:spacing w:after="120"/>
        <w:ind w:left="714" w:hanging="357"/>
      </w:pPr>
      <w:r w:rsidRPr="006B6531">
        <w:t>Brass turnings</w:t>
      </w:r>
    </w:p>
    <w:p w14:paraId="2EC7C055" w14:textId="4300CC4C" w:rsidR="00A7339A" w:rsidRDefault="00A7339A" w:rsidP="001D7E15">
      <w:pPr>
        <w:pStyle w:val="Heading2"/>
        <w:rPr>
          <w:lang w:val="en-US"/>
        </w:rPr>
      </w:pPr>
      <w:r>
        <w:rPr>
          <w:lang w:val="en-US"/>
        </w:rPr>
        <w:lastRenderedPageBreak/>
        <w:t>Observations</w:t>
      </w:r>
    </w:p>
    <w:p w14:paraId="10AA4D50" w14:textId="7064B766" w:rsidR="00A7339A" w:rsidRDefault="00A7339A" w:rsidP="00A7339A">
      <w:pPr>
        <w:rPr>
          <w:lang w:val="en-US"/>
        </w:rPr>
      </w:pPr>
    </w:p>
    <w:p w14:paraId="4A7769BC" w14:textId="652EEA62" w:rsidR="00A7339A" w:rsidRDefault="00A7339A" w:rsidP="00A7339A">
      <w:r w:rsidRPr="00A7339A">
        <w:t>The brass dissolves quickly to form a blue solution. This colour is due to the copper present in the brass. (This part of the experiment must be done in a fume cupboard since nitrogen dioxide is formed.)</w:t>
      </w:r>
    </w:p>
    <w:p w14:paraId="53E2AF68" w14:textId="77777777" w:rsidR="00A7339A" w:rsidRPr="00A7339A" w:rsidRDefault="00A7339A" w:rsidP="00A7339A"/>
    <w:p w14:paraId="75FC011D" w14:textId="2D2A30AB" w:rsidR="00A7339A" w:rsidRPr="00A7339A" w:rsidRDefault="00A7339A" w:rsidP="00A7339A">
      <w:r w:rsidRPr="00A7339A">
        <w:t>The intensity of the colour of this solution should lie within the range of intensities of colour of the standard solutions. Students find the nearest colour match and then calculate the copper content of the brass.</w:t>
      </w:r>
    </w:p>
    <w:p w14:paraId="6E966E11" w14:textId="33777782" w:rsidR="00A7339A" w:rsidRPr="00A7339A" w:rsidRDefault="00A7339A" w:rsidP="00A7339A">
      <w:pPr>
        <w:pStyle w:val="Heading2"/>
      </w:pPr>
      <w:r w:rsidRPr="00A7339A">
        <w:t>Discussion</w:t>
      </w:r>
    </w:p>
    <w:p w14:paraId="24DA8775" w14:textId="77777777" w:rsidR="00A7339A" w:rsidRDefault="00A7339A" w:rsidP="00A7339A"/>
    <w:p w14:paraId="3FA08953" w14:textId="77777777" w:rsidR="00A7339A" w:rsidRDefault="00A7339A" w:rsidP="00A7339A">
      <w:r w:rsidRPr="00A7339A">
        <w:t>Most brass contains about 60% copper (the remainder being zinc). Brass forms an interesting subject for a discussion on the structure of metals and alloys.</w:t>
      </w:r>
    </w:p>
    <w:p w14:paraId="6246FC07" w14:textId="77777777" w:rsidR="00A7339A" w:rsidRDefault="00A7339A" w:rsidP="00A7339A"/>
    <w:p w14:paraId="28B08F32" w14:textId="583F70CF" w:rsidR="00A7339A" w:rsidRDefault="00A7339A" w:rsidP="00A7339A">
      <w:r w:rsidRPr="00A7339A">
        <w:t>Copper metal has a face-</w:t>
      </w:r>
      <w:proofErr w:type="spellStart"/>
      <w:r w:rsidRPr="00A7339A">
        <w:t>centered</w:t>
      </w:r>
      <w:proofErr w:type="spellEnd"/>
      <w:r w:rsidRPr="00A7339A">
        <w:t xml:space="preserve"> cubic structure (</w:t>
      </w:r>
      <w:proofErr w:type="spellStart"/>
      <w:r w:rsidRPr="00A7339A">
        <w:t>fcc</w:t>
      </w:r>
      <w:proofErr w:type="spellEnd"/>
      <w:r w:rsidRPr="00A7339A">
        <w:t xml:space="preserve">) while the structure of zinc is hexagonal. As zinc is added to copper it substitutes in the lattice to form a distorted </w:t>
      </w:r>
      <w:proofErr w:type="spellStart"/>
      <w:r w:rsidRPr="00A7339A">
        <w:t>fcc</w:t>
      </w:r>
      <w:proofErr w:type="spellEnd"/>
      <w:r w:rsidRPr="00A7339A">
        <w:t xml:space="preserve"> structure (zinc atoms are ca 13% larger than copper). This distorted structure is difficult to deform and accounts for the greater strength of brass compared to pure copper.</w:t>
      </w:r>
    </w:p>
    <w:p w14:paraId="14D78DFE" w14:textId="77777777" w:rsidR="00A7339A" w:rsidRPr="00A7339A" w:rsidRDefault="00A7339A" w:rsidP="00A7339A"/>
    <w:p w14:paraId="05B1988C" w14:textId="17099A31" w:rsidR="002A6626" w:rsidRDefault="00A7339A" w:rsidP="00A7339A">
      <w:r w:rsidRPr="00A7339A">
        <w:t xml:space="preserve">When the zinc content reaches about 36% a new body </w:t>
      </w:r>
      <w:proofErr w:type="spellStart"/>
      <w:r w:rsidRPr="00A7339A">
        <w:t>centered</w:t>
      </w:r>
      <w:proofErr w:type="spellEnd"/>
      <w:r w:rsidRPr="00A7339A">
        <w:t xml:space="preserve"> cubic phase </w:t>
      </w:r>
      <w:proofErr w:type="gramStart"/>
      <w:r w:rsidRPr="00A7339A">
        <w:t>appears</w:t>
      </w:r>
      <w:proofErr w:type="gramEnd"/>
      <w:r w:rsidRPr="00A7339A">
        <w:t xml:space="preserve"> and the strength increases markedly although the ductility is reduced. The optimum properties of strength and ductility for most uses of brass occur at about 40% zinc.</w:t>
      </w:r>
    </w:p>
    <w:p w14:paraId="74F495D9" w14:textId="14CC715F" w:rsidR="002A6626" w:rsidRDefault="002A6626" w:rsidP="002A6626">
      <w:pPr>
        <w:pStyle w:val="Heading2"/>
      </w:pPr>
      <w:r>
        <w:t>Reference</w:t>
      </w:r>
    </w:p>
    <w:p w14:paraId="02261651" w14:textId="77777777" w:rsidR="002A6626" w:rsidRPr="002A6626" w:rsidRDefault="002A6626" w:rsidP="002A6626"/>
    <w:p w14:paraId="7EB8F8E6" w14:textId="0C8990BA" w:rsidR="002A6626" w:rsidRPr="002A6626" w:rsidRDefault="002A6626" w:rsidP="002A6626">
      <w:r w:rsidRPr="002A6626">
        <w:t xml:space="preserve">A. Street and W. Alexander, </w:t>
      </w:r>
      <w:r w:rsidRPr="002A6626">
        <w:rPr>
          <w:i/>
          <w:iCs/>
        </w:rPr>
        <w:t>Metals in the service of man</w:t>
      </w:r>
      <w:r w:rsidRPr="002A6626">
        <w:t xml:space="preserve">, 10th </w:t>
      </w:r>
      <w:proofErr w:type="spellStart"/>
      <w:r w:rsidRPr="002A6626">
        <w:t>edn</w:t>
      </w:r>
      <w:proofErr w:type="spellEnd"/>
      <w:r w:rsidRPr="002A6626">
        <w:t>. London: Penguin, 1994.</w:t>
      </w:r>
    </w:p>
    <w:p w14:paraId="6D40CFE0" w14:textId="2C6F061E" w:rsidR="001D7E15" w:rsidRDefault="001D7E15" w:rsidP="001D7E15">
      <w:pPr>
        <w:pStyle w:val="Heading2"/>
        <w:rPr>
          <w:lang w:val="en-US"/>
        </w:rPr>
      </w:pPr>
      <w:r>
        <w:rPr>
          <w:lang w:val="en-US"/>
        </w:rPr>
        <w:t xml:space="preserve">Health, </w:t>
      </w:r>
      <w:proofErr w:type="gramStart"/>
      <w:r>
        <w:rPr>
          <w:lang w:val="en-US"/>
        </w:rPr>
        <w:t>safety</w:t>
      </w:r>
      <w:proofErr w:type="gramEnd"/>
      <w:r>
        <w:rPr>
          <w:lang w:val="en-US"/>
        </w:rPr>
        <w:t xml:space="preserve"> and technical notes</w:t>
      </w:r>
    </w:p>
    <w:p w14:paraId="3A4A7342" w14:textId="77777777" w:rsidR="00A7339A" w:rsidRPr="00A7339A" w:rsidRDefault="00A7339A" w:rsidP="00A7339A">
      <w:pPr>
        <w:rPr>
          <w:lang w:val="en-US"/>
        </w:rPr>
      </w:pPr>
    </w:p>
    <w:p w14:paraId="6A73C686" w14:textId="351A48D6" w:rsidR="001D7E15" w:rsidRPr="007F2B76" w:rsidRDefault="00F85B27" w:rsidP="007F2B76">
      <w:pPr>
        <w:numPr>
          <w:ilvl w:val="0"/>
          <w:numId w:val="16"/>
        </w:numPr>
        <w:spacing w:after="120"/>
        <w:ind w:left="714" w:hanging="357"/>
      </w:pPr>
      <w:hyperlink r:id="rId12" w:history="1">
        <w:r w:rsidR="007F2B76" w:rsidRPr="007F2B76">
          <w:rPr>
            <w:rStyle w:val="Hyperlink"/>
          </w:rPr>
          <w:t>Read our standard health and safety guidance.</w:t>
        </w:r>
      </w:hyperlink>
    </w:p>
    <w:p w14:paraId="7693F026" w14:textId="77777777" w:rsidR="001D7E15" w:rsidRPr="001D7E15" w:rsidRDefault="001D7E15" w:rsidP="001D7E15">
      <w:pPr>
        <w:numPr>
          <w:ilvl w:val="0"/>
          <w:numId w:val="13"/>
        </w:numPr>
        <w:spacing w:after="120"/>
        <w:ind w:left="714" w:hanging="357"/>
      </w:pPr>
      <w:r w:rsidRPr="001D7E15">
        <w:t>Wear eye protection throughout (splash-resistant goggles to BS EN166 3).</w:t>
      </w:r>
    </w:p>
    <w:p w14:paraId="2470CA1B" w14:textId="3634A346" w:rsidR="001D7E15" w:rsidRDefault="001D7E15" w:rsidP="001D7E15">
      <w:pPr>
        <w:numPr>
          <w:ilvl w:val="0"/>
          <w:numId w:val="13"/>
        </w:numPr>
        <w:spacing w:after="120"/>
        <w:ind w:left="714" w:hanging="357"/>
      </w:pPr>
      <w:r w:rsidRPr="001D7E15">
        <w:t>Nitric acid, 5</w:t>
      </w:r>
      <w:r w:rsidR="00CC7A51">
        <w:t xml:space="preserve"> </w:t>
      </w:r>
      <w:r w:rsidRPr="001D7E15">
        <w:t>M HNO</w:t>
      </w:r>
      <w:r w:rsidRPr="001D7E15">
        <w:rPr>
          <w:vertAlign w:val="subscript"/>
        </w:rPr>
        <w:t>3</w:t>
      </w:r>
      <w:r w:rsidRPr="001D7E15">
        <w:t> (</w:t>
      </w:r>
      <w:proofErr w:type="spellStart"/>
      <w:r w:rsidRPr="001D7E15">
        <w:t>aq</w:t>
      </w:r>
      <w:proofErr w:type="spellEnd"/>
      <w:r w:rsidRPr="001D7E15">
        <w:t>) is CORROSIVE</w:t>
      </w:r>
      <w:r w:rsidR="00814DC1">
        <w:t xml:space="preserve"> – s</w:t>
      </w:r>
      <w:r w:rsidR="00CC7A51" w:rsidRPr="00CC7A51">
        <w:t xml:space="preserve">ee CLEAPSS </w:t>
      </w:r>
      <w:proofErr w:type="spellStart"/>
      <w:r w:rsidR="00CC7A51" w:rsidRPr="00CC7A51">
        <w:t>Hazcard</w:t>
      </w:r>
      <w:proofErr w:type="spellEnd"/>
      <w:r w:rsidR="00CC7A51" w:rsidRPr="00CC7A51">
        <w:t> HC067 and CLEAPSS Recipe Book RB061.</w:t>
      </w:r>
      <w:r w:rsidR="00CC7A51">
        <w:t xml:space="preserve"> </w:t>
      </w:r>
      <w:r w:rsidRPr="001D7E15">
        <w:t>Consider wearing protective gloves.</w:t>
      </w:r>
    </w:p>
    <w:p w14:paraId="01548735" w14:textId="153FA056" w:rsidR="00814DC1" w:rsidRPr="001D7E15" w:rsidRDefault="00814DC1" w:rsidP="001D7E15">
      <w:pPr>
        <w:numPr>
          <w:ilvl w:val="0"/>
          <w:numId w:val="13"/>
        </w:numPr>
        <w:spacing w:after="120"/>
        <w:ind w:left="714" w:hanging="357"/>
      </w:pPr>
      <w:r>
        <w:t xml:space="preserve">Copper nitrate – see CLEAPSS </w:t>
      </w:r>
      <w:proofErr w:type="spellStart"/>
      <w:r>
        <w:t>Hazcard</w:t>
      </w:r>
      <w:proofErr w:type="spellEnd"/>
      <w:r>
        <w:t xml:space="preserve"> HC027B</w:t>
      </w:r>
      <w:r w:rsidR="00DB4C0B">
        <w:t xml:space="preserve"> and CLEAPSS Recipe Book RB031.</w:t>
      </w:r>
    </w:p>
    <w:p w14:paraId="521F4C88" w14:textId="443A2064" w:rsidR="001D7E15" w:rsidRPr="00B37FEF" w:rsidRDefault="001D7E15" w:rsidP="001D7E15">
      <w:pPr>
        <w:numPr>
          <w:ilvl w:val="0"/>
          <w:numId w:val="13"/>
        </w:numPr>
        <w:spacing w:after="120"/>
        <w:ind w:left="714" w:hanging="357"/>
      </w:pPr>
      <w:r w:rsidRPr="001D7E15">
        <w:t>Disposal: collect and retain copper/zinc solutions for appropriate disposal.</w:t>
      </w:r>
    </w:p>
    <w:sectPr w:rsidR="001D7E15" w:rsidRPr="00B37FEF" w:rsidSect="00F85B27">
      <w:footerReference w:type="default" r:id="rId13"/>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E2EE2" w14:textId="77777777" w:rsidR="002840CF" w:rsidRDefault="002840CF" w:rsidP="00883634">
      <w:pPr>
        <w:spacing w:line="240" w:lineRule="auto"/>
      </w:pPr>
      <w:r>
        <w:separator/>
      </w:r>
    </w:p>
  </w:endnote>
  <w:endnote w:type="continuationSeparator" w:id="0">
    <w:p w14:paraId="18C61F81" w14:textId="77777777" w:rsidR="002840CF" w:rsidRDefault="002840CF"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CB23C" w14:textId="7967BAC4"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 name="Picture 3"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6F1D7B">
      <w:rPr>
        <w:sz w:val="16"/>
        <w:szCs w:val="16"/>
      </w:rPr>
      <w:t xml:space="preserve"> </w:t>
    </w:r>
    <w:hyperlink r:id="rId2" w:history="1">
      <w:r w:rsidR="0081463D" w:rsidRPr="00724BD8">
        <w:rPr>
          <w:rStyle w:val="Hyperlink"/>
          <w:sz w:val="16"/>
          <w:szCs w:val="16"/>
        </w:rPr>
        <w:t>https://rsc.li/3th1AA8</w:t>
      </w:r>
    </w:hyperlink>
    <w:r w:rsidR="0081463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4D1E4" w14:textId="77777777" w:rsidR="002840CF" w:rsidRDefault="002840CF" w:rsidP="00883634">
      <w:pPr>
        <w:spacing w:line="240" w:lineRule="auto"/>
      </w:pPr>
      <w:r>
        <w:separator/>
      </w:r>
    </w:p>
  </w:footnote>
  <w:footnote w:type="continuationSeparator" w:id="0">
    <w:p w14:paraId="14729A67" w14:textId="77777777" w:rsidR="002840CF" w:rsidRDefault="002840CF"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E7919"/>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0F552F"/>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4E2A4A"/>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AF3E57"/>
    <w:multiLevelType w:val="multilevel"/>
    <w:tmpl w:val="B31A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5F080A"/>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7B2EEB"/>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F86FD9"/>
    <w:multiLevelType w:val="multilevel"/>
    <w:tmpl w:val="4C50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95078C"/>
    <w:multiLevelType w:val="multilevel"/>
    <w:tmpl w:val="6A0A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7D63AD"/>
    <w:multiLevelType w:val="multilevel"/>
    <w:tmpl w:val="629A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6"/>
  </w:num>
  <w:num w:numId="4">
    <w:abstractNumId w:val="10"/>
  </w:num>
  <w:num w:numId="5">
    <w:abstractNumId w:val="14"/>
  </w:num>
  <w:num w:numId="6">
    <w:abstractNumId w:val="2"/>
  </w:num>
  <w:num w:numId="7">
    <w:abstractNumId w:val="11"/>
  </w:num>
  <w:num w:numId="8">
    <w:abstractNumId w:val="8"/>
  </w:num>
  <w:num w:numId="9">
    <w:abstractNumId w:val="3"/>
  </w:num>
  <w:num w:numId="10">
    <w:abstractNumId w:val="7"/>
  </w:num>
  <w:num w:numId="11">
    <w:abstractNumId w:val="4"/>
  </w:num>
  <w:num w:numId="12">
    <w:abstractNumId w:val="0"/>
  </w:num>
  <w:num w:numId="13">
    <w:abstractNumId w:val="9"/>
  </w:num>
  <w:num w:numId="14">
    <w:abstractNumId w:val="12"/>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10594E"/>
    <w:rsid w:val="00107A74"/>
    <w:rsid w:val="00121D41"/>
    <w:rsid w:val="0015353F"/>
    <w:rsid w:val="001546EA"/>
    <w:rsid w:val="001554E7"/>
    <w:rsid w:val="001637E5"/>
    <w:rsid w:val="00196E56"/>
    <w:rsid w:val="001D7E15"/>
    <w:rsid w:val="002479DD"/>
    <w:rsid w:val="0026538E"/>
    <w:rsid w:val="002840CF"/>
    <w:rsid w:val="002A6626"/>
    <w:rsid w:val="002E173F"/>
    <w:rsid w:val="00315C09"/>
    <w:rsid w:val="00357DE0"/>
    <w:rsid w:val="00384C00"/>
    <w:rsid w:val="003F3444"/>
    <w:rsid w:val="00402AB6"/>
    <w:rsid w:val="00412A04"/>
    <w:rsid w:val="00452BAE"/>
    <w:rsid w:val="004F37DE"/>
    <w:rsid w:val="00530E52"/>
    <w:rsid w:val="00536D83"/>
    <w:rsid w:val="005E2D53"/>
    <w:rsid w:val="005E4E58"/>
    <w:rsid w:val="005F10C0"/>
    <w:rsid w:val="006A7649"/>
    <w:rsid w:val="006B2D5F"/>
    <w:rsid w:val="006B6531"/>
    <w:rsid w:val="006E6495"/>
    <w:rsid w:val="006F11C7"/>
    <w:rsid w:val="006F1D7B"/>
    <w:rsid w:val="007648CD"/>
    <w:rsid w:val="00795D31"/>
    <w:rsid w:val="007B29DA"/>
    <w:rsid w:val="007C5B2B"/>
    <w:rsid w:val="007F2B76"/>
    <w:rsid w:val="00801C93"/>
    <w:rsid w:val="0081463D"/>
    <w:rsid w:val="00814DC1"/>
    <w:rsid w:val="00832EEA"/>
    <w:rsid w:val="00883634"/>
    <w:rsid w:val="008D2638"/>
    <w:rsid w:val="00942589"/>
    <w:rsid w:val="00944467"/>
    <w:rsid w:val="009662E3"/>
    <w:rsid w:val="009827C9"/>
    <w:rsid w:val="009A34C5"/>
    <w:rsid w:val="009A4E4D"/>
    <w:rsid w:val="009A5665"/>
    <w:rsid w:val="009C28B0"/>
    <w:rsid w:val="009C6C7F"/>
    <w:rsid w:val="00A321DB"/>
    <w:rsid w:val="00A7339A"/>
    <w:rsid w:val="00AD3FFE"/>
    <w:rsid w:val="00B2046D"/>
    <w:rsid w:val="00B37FEF"/>
    <w:rsid w:val="00B66E0B"/>
    <w:rsid w:val="00B802D2"/>
    <w:rsid w:val="00BC5C4C"/>
    <w:rsid w:val="00BC7C98"/>
    <w:rsid w:val="00C0182D"/>
    <w:rsid w:val="00C12A83"/>
    <w:rsid w:val="00C41576"/>
    <w:rsid w:val="00C611F9"/>
    <w:rsid w:val="00C62DC1"/>
    <w:rsid w:val="00CC7A51"/>
    <w:rsid w:val="00CF3BC7"/>
    <w:rsid w:val="00CF5E46"/>
    <w:rsid w:val="00D15C73"/>
    <w:rsid w:val="00D32040"/>
    <w:rsid w:val="00DB4C0B"/>
    <w:rsid w:val="00DB7CF6"/>
    <w:rsid w:val="00DC4499"/>
    <w:rsid w:val="00E04D15"/>
    <w:rsid w:val="00E6281A"/>
    <w:rsid w:val="00E64520"/>
    <w:rsid w:val="00E81B12"/>
    <w:rsid w:val="00EA245E"/>
    <w:rsid w:val="00EE1EE1"/>
    <w:rsid w:val="00EE4ECC"/>
    <w:rsid w:val="00EE7B55"/>
    <w:rsid w:val="00F36FC4"/>
    <w:rsid w:val="00F85B27"/>
    <w:rsid w:val="00F93ED9"/>
    <w:rsid w:val="00FB1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4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67341">
      <w:bodyDiv w:val="1"/>
      <w:marLeft w:val="0"/>
      <w:marRight w:val="0"/>
      <w:marTop w:val="0"/>
      <w:marBottom w:val="0"/>
      <w:divBdr>
        <w:top w:val="none" w:sz="0" w:space="0" w:color="auto"/>
        <w:left w:val="none" w:sz="0" w:space="0" w:color="auto"/>
        <w:bottom w:val="none" w:sz="0" w:space="0" w:color="auto"/>
        <w:right w:val="none" w:sz="0" w:space="0" w:color="auto"/>
      </w:divBdr>
    </w:div>
    <w:div w:id="53087889">
      <w:bodyDiv w:val="1"/>
      <w:marLeft w:val="0"/>
      <w:marRight w:val="0"/>
      <w:marTop w:val="0"/>
      <w:marBottom w:val="0"/>
      <w:divBdr>
        <w:top w:val="none" w:sz="0" w:space="0" w:color="auto"/>
        <w:left w:val="none" w:sz="0" w:space="0" w:color="auto"/>
        <w:bottom w:val="none" w:sz="0" w:space="0" w:color="auto"/>
        <w:right w:val="none" w:sz="0" w:space="0" w:color="auto"/>
      </w:divBdr>
    </w:div>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232468026">
      <w:bodyDiv w:val="1"/>
      <w:marLeft w:val="0"/>
      <w:marRight w:val="0"/>
      <w:marTop w:val="0"/>
      <w:marBottom w:val="0"/>
      <w:divBdr>
        <w:top w:val="none" w:sz="0" w:space="0" w:color="auto"/>
        <w:left w:val="none" w:sz="0" w:space="0" w:color="auto"/>
        <w:bottom w:val="none" w:sz="0" w:space="0" w:color="auto"/>
        <w:right w:val="none" w:sz="0" w:space="0" w:color="auto"/>
      </w:divBdr>
    </w:div>
    <w:div w:id="352610712">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652224386">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17039425">
      <w:bodyDiv w:val="1"/>
      <w:marLeft w:val="0"/>
      <w:marRight w:val="0"/>
      <w:marTop w:val="0"/>
      <w:marBottom w:val="0"/>
      <w:divBdr>
        <w:top w:val="none" w:sz="0" w:space="0" w:color="auto"/>
        <w:left w:val="none" w:sz="0" w:space="0" w:color="auto"/>
        <w:bottom w:val="none" w:sz="0" w:space="0" w:color="auto"/>
        <w:right w:val="none" w:sz="0" w:space="0" w:color="auto"/>
      </w:divBdr>
    </w:div>
    <w:div w:id="959915661">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480610500">
      <w:bodyDiv w:val="1"/>
      <w:marLeft w:val="0"/>
      <w:marRight w:val="0"/>
      <w:marTop w:val="0"/>
      <w:marBottom w:val="0"/>
      <w:divBdr>
        <w:top w:val="none" w:sz="0" w:space="0" w:color="auto"/>
        <w:left w:val="none" w:sz="0" w:space="0" w:color="auto"/>
        <w:bottom w:val="none" w:sz="0" w:space="0" w:color="auto"/>
        <w:right w:val="none" w:sz="0" w:space="0" w:color="auto"/>
      </w:divBdr>
    </w:div>
    <w:div w:id="1725136810">
      <w:bodyDiv w:val="1"/>
      <w:marLeft w:val="0"/>
      <w:marRight w:val="0"/>
      <w:marTop w:val="0"/>
      <w:marBottom w:val="0"/>
      <w:divBdr>
        <w:top w:val="none" w:sz="0" w:space="0" w:color="auto"/>
        <w:left w:val="none" w:sz="0" w:space="0" w:color="auto"/>
        <w:bottom w:val="none" w:sz="0" w:space="0" w:color="auto"/>
        <w:right w:val="none" w:sz="0" w:space="0" w:color="auto"/>
      </w:divBdr>
    </w:div>
    <w:div w:id="202481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rsc.org/resources/explaining-our-health-and-safety-guidance/1752.artic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xJYLK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sc.li/3th1AA8"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13852-85C2-4AD3-84B5-1733ACFFCA21}">
  <ds:schemaRefs>
    <ds:schemaRef ds:uri="http://purl.org/dc/elements/1.1/"/>
    <ds:schemaRef ds:uri="735c6f9d-ea00-4d07-8164-4ddae4f5c3ce"/>
    <ds:schemaRef ds:uri="http://schemas.microsoft.com/office/2006/metadata/properties"/>
    <ds:schemaRef ds:uri="http://purl.org/dc/dcmitype/"/>
    <ds:schemaRef ds:uri="http://schemas.openxmlformats.org/package/2006/metadata/core-properties"/>
    <ds:schemaRef ds:uri="http://schemas.microsoft.com/office/2006/documentManagement/types"/>
    <ds:schemaRef ds:uri="472a3ddc-6003-415e-a262-c0a931a5a88b"/>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CB4E5D5-23BA-4F9D-96DF-DCE105A74624}">
  <ds:schemaRefs>
    <ds:schemaRef ds:uri="http://schemas.openxmlformats.org/officeDocument/2006/bibliography"/>
  </ds:schemaRefs>
</ds:datastoreItem>
</file>

<file path=customXml/itemProps4.xml><?xml version="1.0" encoding="utf-8"?>
<ds:datastoreItem xmlns:ds="http://schemas.openxmlformats.org/officeDocument/2006/customXml" ds:itemID="{A29FB3A0-01A9-4A0D-9D84-CEB4A22C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Guide to preparing solutions for microscale chemistry</vt:lpstr>
    </vt:vector>
  </TitlesOfParts>
  <Company>Royal Society Of Chemistry</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determination of copper in brass - teacher notes</dc:title>
  <dc:subject>Use these teacher notes with the accompanying student sheets to investigate the amount of copper in brass using nitric acid on a microscale.</dc:subject>
  <dc:creator>Royal Society of Chemistry</dc:creator>
  <cp:keywords/>
  <dc:description/>
  <cp:lastModifiedBy>Chris Runciman</cp:lastModifiedBy>
  <cp:revision>16</cp:revision>
  <dcterms:created xsi:type="dcterms:W3CDTF">2021-05-04T10:39:00Z</dcterms:created>
  <dcterms:modified xsi:type="dcterms:W3CDTF">2021-05-13T13:04:00Z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