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EAEC" w14:textId="6A26DDE2" w:rsidR="00EE7B55" w:rsidRPr="00EE7B55" w:rsidRDefault="005D095D" w:rsidP="00B659DE">
      <w:pPr>
        <w:pStyle w:val="Heading1"/>
      </w:pPr>
      <w:r>
        <w:t xml:space="preserve">Microscale reactions of hydrogen sulphide – </w:t>
      </w:r>
      <w:r w:rsidR="00025243">
        <w:t>teacher notes</w:t>
      </w:r>
    </w:p>
    <w:p w14:paraId="1599FB83" w14:textId="3B5A799F" w:rsidR="0073567E" w:rsidRDefault="00B659DE" w:rsidP="00025243">
      <w:pPr>
        <w:pStyle w:val="Heading2"/>
      </w:pPr>
      <w:r>
        <w:t>Topic</w:t>
      </w:r>
    </w:p>
    <w:p w14:paraId="18F8ABAB" w14:textId="16DE8FF9" w:rsidR="00B659DE" w:rsidRDefault="00B659DE" w:rsidP="00B659DE"/>
    <w:p w14:paraId="757ED20A" w14:textId="2B4EE062" w:rsidR="00B659DE" w:rsidRDefault="00B659DE" w:rsidP="00B659DE">
      <w:r>
        <w:t>Gases</w:t>
      </w:r>
    </w:p>
    <w:p w14:paraId="26C81E67" w14:textId="0C02D4B0" w:rsidR="00B659DE" w:rsidRDefault="00B659DE" w:rsidP="00B659DE">
      <w:pPr>
        <w:pStyle w:val="Heading2"/>
      </w:pPr>
      <w:r>
        <w:t>Timing</w:t>
      </w:r>
    </w:p>
    <w:p w14:paraId="63A6298B" w14:textId="7894AFE1" w:rsidR="00B659DE" w:rsidRDefault="00B659DE" w:rsidP="00B659DE"/>
    <w:p w14:paraId="32B3DE73" w14:textId="1D53D818" w:rsidR="00B659DE" w:rsidRDefault="00B659DE" w:rsidP="00B659DE">
      <w:r>
        <w:t>20 minutes</w:t>
      </w:r>
    </w:p>
    <w:p w14:paraId="28F62692" w14:textId="4B850CAF" w:rsidR="00B659DE" w:rsidRDefault="00B659DE" w:rsidP="00B659DE">
      <w:pPr>
        <w:pStyle w:val="Heading2"/>
      </w:pPr>
      <w:r>
        <w:t>Equipment</w:t>
      </w:r>
    </w:p>
    <w:p w14:paraId="4A44794E" w14:textId="3FEE761C" w:rsidR="00B659DE" w:rsidRDefault="00B659DE" w:rsidP="00B659DE"/>
    <w:p w14:paraId="3A35E2AB" w14:textId="05BF791B" w:rsidR="00B659DE" w:rsidRDefault="00B659DE" w:rsidP="00B659DE">
      <w:pPr>
        <w:pStyle w:val="Heading3"/>
      </w:pPr>
      <w:r>
        <w:t>Apparatus</w:t>
      </w:r>
    </w:p>
    <w:p w14:paraId="1D95C00D" w14:textId="14F571E4" w:rsidR="00B659DE" w:rsidRDefault="00B659DE" w:rsidP="00B659DE"/>
    <w:p w14:paraId="6670A93A" w14:textId="77777777" w:rsidR="00EB21AA" w:rsidRPr="00EB21AA" w:rsidRDefault="00EB21AA" w:rsidP="00EB21AA">
      <w:pPr>
        <w:numPr>
          <w:ilvl w:val="0"/>
          <w:numId w:val="5"/>
        </w:numPr>
        <w:spacing w:after="120"/>
        <w:ind w:left="714" w:hanging="357"/>
      </w:pPr>
      <w:r w:rsidRPr="00EB21AA">
        <w:t>Eye protection (goggles)</w:t>
      </w:r>
    </w:p>
    <w:p w14:paraId="0B18F71B" w14:textId="77777777" w:rsidR="00EB21AA" w:rsidRPr="00EB21AA" w:rsidRDefault="00EB21AA" w:rsidP="00EB21AA">
      <w:pPr>
        <w:numPr>
          <w:ilvl w:val="0"/>
          <w:numId w:val="5"/>
        </w:numPr>
        <w:spacing w:after="120"/>
        <w:ind w:left="714" w:hanging="357"/>
      </w:pPr>
      <w:r w:rsidRPr="00EB21AA">
        <w:t>Student information sheet and worksheet</w:t>
      </w:r>
    </w:p>
    <w:p w14:paraId="57CC82E6" w14:textId="77777777" w:rsidR="00EB21AA" w:rsidRPr="00EB21AA" w:rsidRDefault="00EB21AA" w:rsidP="00EB21AA">
      <w:pPr>
        <w:numPr>
          <w:ilvl w:val="0"/>
          <w:numId w:val="5"/>
        </w:numPr>
        <w:spacing w:after="120"/>
        <w:ind w:left="714" w:hanging="357"/>
      </w:pPr>
      <w:r w:rsidRPr="00EB21AA">
        <w:t>Clear plastic sheet (eg ohp sheet)</w:t>
      </w:r>
    </w:p>
    <w:p w14:paraId="5BC6A551" w14:textId="77777777" w:rsidR="00EB21AA" w:rsidRPr="00EB21AA" w:rsidRDefault="00EB21AA" w:rsidP="00EB21AA">
      <w:pPr>
        <w:numPr>
          <w:ilvl w:val="0"/>
          <w:numId w:val="5"/>
        </w:numPr>
        <w:spacing w:after="120"/>
        <w:ind w:left="714" w:hanging="357"/>
      </w:pPr>
      <w:r w:rsidRPr="00EB21AA">
        <w:t>Plastic Petri dish (base + lid), 9 cm diameter</w:t>
      </w:r>
    </w:p>
    <w:p w14:paraId="6EC1069D" w14:textId="77777777" w:rsidR="00EB21AA" w:rsidRPr="00EB21AA" w:rsidRDefault="00EB21AA" w:rsidP="00EB21AA">
      <w:pPr>
        <w:numPr>
          <w:ilvl w:val="0"/>
          <w:numId w:val="5"/>
        </w:numPr>
        <w:spacing w:after="120"/>
        <w:ind w:left="714" w:hanging="357"/>
      </w:pPr>
      <w:r w:rsidRPr="00EB21AA">
        <w:t>Plastic pipette</w:t>
      </w:r>
    </w:p>
    <w:p w14:paraId="7E27AE57" w14:textId="77777777" w:rsidR="00EB21AA" w:rsidRPr="00EB21AA" w:rsidRDefault="00EB21AA" w:rsidP="00EB21AA">
      <w:pPr>
        <w:numPr>
          <w:ilvl w:val="0"/>
          <w:numId w:val="5"/>
        </w:numPr>
        <w:spacing w:after="120"/>
        <w:ind w:left="714" w:hanging="357"/>
      </w:pPr>
      <w:r w:rsidRPr="00EB21AA">
        <w:t>Scissors</w:t>
      </w:r>
    </w:p>
    <w:p w14:paraId="271EF007" w14:textId="15459CAC" w:rsidR="00B659DE" w:rsidRDefault="00B659DE" w:rsidP="00B659DE"/>
    <w:p w14:paraId="2A982AD5" w14:textId="79B81455" w:rsidR="00EB21AA" w:rsidRDefault="00EB21AA" w:rsidP="00EB21AA">
      <w:pPr>
        <w:pStyle w:val="Heading3"/>
      </w:pPr>
      <w:r>
        <w:t>Chemicals</w:t>
      </w:r>
    </w:p>
    <w:p w14:paraId="25F0F83E" w14:textId="287023A3" w:rsidR="00AA6962" w:rsidRDefault="00AA6962" w:rsidP="00AA6962"/>
    <w:p w14:paraId="7113F822" w14:textId="3B64D9BA" w:rsidR="00AA6962" w:rsidRPr="00AA6962" w:rsidRDefault="006B1BE4" w:rsidP="00AA6962">
      <w:r w:rsidRPr="002E4EF0">
        <w:t>Solutions should be contained in plastic pipettes – see the accompanying guidance on apparatus and techniques for microscale chemistry</w:t>
      </w:r>
      <w:r>
        <w:t xml:space="preserve"> (</w:t>
      </w:r>
      <w:hyperlink r:id="rId11" w:history="1">
        <w:r w:rsidRPr="0032376A">
          <w:rPr>
            <w:rStyle w:val="Hyperlink"/>
          </w:rPr>
          <w:t>https://rsc.li/2QTycSj</w:t>
        </w:r>
      </w:hyperlink>
      <w:r>
        <w:t>)</w:t>
      </w:r>
      <w:r w:rsidR="0054013D">
        <w:t>, which includes instructions for preparing solutions.</w:t>
      </w:r>
    </w:p>
    <w:p w14:paraId="708467BA" w14:textId="228C4BD3" w:rsidR="00EB21AA" w:rsidRDefault="00EB21AA" w:rsidP="00EB21AA"/>
    <w:p w14:paraId="4705A989" w14:textId="77777777" w:rsidR="00AA6962" w:rsidRPr="00AA6962" w:rsidRDefault="00AA6962" w:rsidP="00AA6962">
      <w:pPr>
        <w:numPr>
          <w:ilvl w:val="0"/>
          <w:numId w:val="6"/>
        </w:numPr>
        <w:spacing w:after="120"/>
        <w:ind w:left="714" w:hanging="357"/>
      </w:pPr>
      <w:r w:rsidRPr="00AA6962">
        <w:t>Hydrochloric acid, 1 mol dm</w:t>
      </w:r>
      <w:r w:rsidRPr="00AA6962">
        <w:rPr>
          <w:vertAlign w:val="superscript"/>
        </w:rPr>
        <w:t>–3</w:t>
      </w:r>
    </w:p>
    <w:p w14:paraId="3F45BE97" w14:textId="77777777" w:rsidR="00AA6962" w:rsidRPr="00AA6962" w:rsidRDefault="00AA6962" w:rsidP="00AA6962">
      <w:pPr>
        <w:numPr>
          <w:ilvl w:val="0"/>
          <w:numId w:val="6"/>
        </w:numPr>
        <w:spacing w:after="120"/>
        <w:ind w:left="714" w:hanging="357"/>
      </w:pPr>
      <w:r w:rsidRPr="00AA6962">
        <w:t>Lead nitrate, 0.5 mol dm</w:t>
      </w:r>
      <w:r w:rsidRPr="00AA6962">
        <w:rPr>
          <w:vertAlign w:val="superscript"/>
        </w:rPr>
        <w:t>–3</w:t>
      </w:r>
    </w:p>
    <w:p w14:paraId="71AD8E2E" w14:textId="77777777" w:rsidR="00AA6962" w:rsidRPr="00AA6962" w:rsidRDefault="00AA6962" w:rsidP="00AA6962">
      <w:pPr>
        <w:numPr>
          <w:ilvl w:val="0"/>
          <w:numId w:val="6"/>
        </w:numPr>
        <w:spacing w:after="120"/>
        <w:ind w:left="714" w:hanging="357"/>
      </w:pPr>
      <w:r w:rsidRPr="00AA6962">
        <w:t>Potassium manganate(VII), 0.01 mol dm</w:t>
      </w:r>
      <w:r w:rsidRPr="00AA6962">
        <w:rPr>
          <w:vertAlign w:val="superscript"/>
        </w:rPr>
        <w:t>–3</w:t>
      </w:r>
    </w:p>
    <w:p w14:paraId="2A34670F" w14:textId="77777777" w:rsidR="00AA6962" w:rsidRPr="00AA6962" w:rsidRDefault="00AA6962" w:rsidP="00AA6962">
      <w:pPr>
        <w:numPr>
          <w:ilvl w:val="0"/>
          <w:numId w:val="6"/>
        </w:numPr>
        <w:spacing w:after="120"/>
        <w:ind w:left="714" w:hanging="357"/>
      </w:pPr>
      <w:r w:rsidRPr="00AA6962">
        <w:t>Silver nitrate, 0.2 mol dm</w:t>
      </w:r>
      <w:r w:rsidRPr="00AA6962">
        <w:rPr>
          <w:vertAlign w:val="superscript"/>
        </w:rPr>
        <w:t>–3</w:t>
      </w:r>
    </w:p>
    <w:p w14:paraId="3762771A" w14:textId="77777777" w:rsidR="00AA6962" w:rsidRPr="00AA6962" w:rsidRDefault="00AA6962" w:rsidP="00AA6962">
      <w:pPr>
        <w:numPr>
          <w:ilvl w:val="0"/>
          <w:numId w:val="6"/>
        </w:numPr>
        <w:spacing w:after="120"/>
        <w:ind w:left="714" w:hanging="357"/>
      </w:pPr>
      <w:r w:rsidRPr="00AA6962">
        <w:t>Sulfuric acid, 1 mol dm</w:t>
      </w:r>
      <w:r w:rsidRPr="00AA6962">
        <w:rPr>
          <w:vertAlign w:val="superscript"/>
        </w:rPr>
        <w:t>–3</w:t>
      </w:r>
    </w:p>
    <w:p w14:paraId="7B459DDD" w14:textId="6ECEEAFB" w:rsidR="00EB21AA" w:rsidRDefault="00AA6962" w:rsidP="00EB21AA">
      <w:pPr>
        <w:numPr>
          <w:ilvl w:val="0"/>
          <w:numId w:val="6"/>
        </w:numPr>
        <w:spacing w:after="120"/>
        <w:ind w:left="714" w:hanging="357"/>
      </w:pPr>
      <w:r w:rsidRPr="00AA6962">
        <w:t>Zinc sulfide powder</w:t>
      </w:r>
    </w:p>
    <w:p w14:paraId="2EE9BDC9" w14:textId="072C5654" w:rsidR="00AA6962" w:rsidRDefault="00AA6962" w:rsidP="00AA6962">
      <w:pPr>
        <w:pStyle w:val="Heading2"/>
      </w:pPr>
      <w:r>
        <w:t>Method</w:t>
      </w:r>
    </w:p>
    <w:p w14:paraId="4AF87C74" w14:textId="39CB40DD" w:rsidR="00AA6962" w:rsidRDefault="00AA6962" w:rsidP="00AA6962"/>
    <w:p w14:paraId="4FE8420B" w14:textId="728D11DA" w:rsidR="00AB7E91" w:rsidRDefault="00AB7E91" w:rsidP="00AB7E91">
      <w:r w:rsidRPr="00AB7E91">
        <w:t>Zinc sulfide + hydrochloric acid generates hydrogen sulfide:</w:t>
      </w:r>
    </w:p>
    <w:p w14:paraId="28F2D51A" w14:textId="77777777" w:rsidR="00AB7E91" w:rsidRPr="00AB7E91" w:rsidRDefault="00AB7E91" w:rsidP="00AB7E91"/>
    <w:p w14:paraId="1C3A8EAB" w14:textId="06E6187F" w:rsidR="00AB7E91" w:rsidRDefault="00AB7E91" w:rsidP="00AB7E91">
      <w:r w:rsidRPr="00AB7E91">
        <w:t>ZnS(s) + 2HCl(aq) → ZnCl</w:t>
      </w:r>
      <w:r w:rsidRPr="00AB7E91">
        <w:rPr>
          <w:vertAlign w:val="subscript"/>
        </w:rPr>
        <w:t>2</w:t>
      </w:r>
      <w:r w:rsidRPr="00AB7E91">
        <w:t> (s) + H</w:t>
      </w:r>
      <w:r w:rsidRPr="00AB7E91">
        <w:rPr>
          <w:vertAlign w:val="subscript"/>
        </w:rPr>
        <w:t>2</w:t>
      </w:r>
      <w:r w:rsidRPr="00AB7E91">
        <w:t> S(g)</w:t>
      </w:r>
    </w:p>
    <w:p w14:paraId="44466FA4" w14:textId="77777777" w:rsidR="00AB7E91" w:rsidRPr="00AB7E91" w:rsidRDefault="00AB7E91" w:rsidP="00AB7E91"/>
    <w:p w14:paraId="0D7FF477" w14:textId="27017C21" w:rsidR="00AB7E91" w:rsidRDefault="00AB7E91" w:rsidP="00AB7E91">
      <w:r w:rsidRPr="00AB7E91">
        <w:t>No bubbles of gas are seen and only small quantities of hydrogen sulfide are given off – sufficient, however, to carry out the tests.</w:t>
      </w:r>
    </w:p>
    <w:p w14:paraId="7F03C35E" w14:textId="4E6AF4FE" w:rsidR="0054013D" w:rsidRDefault="0054013D" w:rsidP="00AB7E91"/>
    <w:p w14:paraId="78459A3F" w14:textId="213B6B42" w:rsidR="0054013D" w:rsidRDefault="0054013D" w:rsidP="00AB7E91"/>
    <w:p w14:paraId="7F8E8CED" w14:textId="77777777" w:rsidR="0054013D" w:rsidRDefault="0054013D" w:rsidP="00AB7E91"/>
    <w:p w14:paraId="51304664" w14:textId="093C1215" w:rsidR="00AB7E91" w:rsidRDefault="00AB7E91" w:rsidP="00AB7E91">
      <w:pPr>
        <w:pStyle w:val="Heading2"/>
      </w:pPr>
      <w:r>
        <w:lastRenderedPageBreak/>
        <w:t>Results</w:t>
      </w:r>
    </w:p>
    <w:p w14:paraId="608E53AB" w14:textId="77777777" w:rsidR="00AB7E91" w:rsidRPr="00AB7E91" w:rsidRDefault="00AB7E91" w:rsidP="00AB7E91"/>
    <w:p w14:paraId="00D23181" w14:textId="77777777" w:rsidR="00AB7E91" w:rsidRPr="00AB7E91" w:rsidRDefault="00AB7E91" w:rsidP="00AB7E91">
      <w:r w:rsidRPr="00AB7E91">
        <w:t>The lead nitrate solution gradually turns silvery due to the formation of lead sulfide by reaction of hydrogen sulfide and lead nitrate.</w:t>
      </w:r>
    </w:p>
    <w:p w14:paraId="1AC1E527" w14:textId="4F2CAF1F" w:rsidR="00AB7E91" w:rsidRDefault="00AB7E91" w:rsidP="00AB7E91">
      <w:r w:rsidRPr="00AB7E91">
        <w:t>The silver nitrate solution reacts in a similar fashion although the reaction appears to be slower and the silver sulfide is less reflective than the lead sulfide.</w:t>
      </w:r>
    </w:p>
    <w:p w14:paraId="0047169A" w14:textId="77777777" w:rsidR="00AB7E91" w:rsidRPr="00AB7E91" w:rsidRDefault="00AB7E91" w:rsidP="00AB7E91"/>
    <w:p w14:paraId="1B80C0FE" w14:textId="423AB95C" w:rsidR="00AB7E91" w:rsidRDefault="00AB7E91" w:rsidP="00AB7E91">
      <w:r w:rsidRPr="00AB7E91">
        <w:t>The potassium manganate(VII) solution turns first brown and then, if sufficient gas is present, colourless, as it is reduced by the hydrogen sulfide:</w:t>
      </w:r>
    </w:p>
    <w:p w14:paraId="61E5C6BA" w14:textId="77777777" w:rsidR="00AB7E91" w:rsidRPr="00AB7E91" w:rsidRDefault="00AB7E91" w:rsidP="00AB7E91"/>
    <w:p w14:paraId="45842624" w14:textId="64E5E877" w:rsidR="00AA6962" w:rsidRPr="00AA6962" w:rsidRDefault="00AB7E91" w:rsidP="00AA6962">
      <w:r w:rsidRPr="00AB7E91">
        <w:t>2MnO</w:t>
      </w:r>
      <w:r w:rsidRPr="00AB7E91">
        <w:rPr>
          <w:vertAlign w:val="subscript"/>
        </w:rPr>
        <w:t>4</w:t>
      </w:r>
      <w:r w:rsidRPr="00AB7E91">
        <w:rPr>
          <w:vertAlign w:val="superscript"/>
        </w:rPr>
        <w:t>–</w:t>
      </w:r>
      <w:r w:rsidRPr="00AB7E91">
        <w:t> (aq) + 5H</w:t>
      </w:r>
      <w:r w:rsidRPr="00AB7E91">
        <w:rPr>
          <w:vertAlign w:val="subscript"/>
        </w:rPr>
        <w:t>2</w:t>
      </w:r>
      <w:r w:rsidRPr="00AB7E91">
        <w:t> S(g) + 6H</w:t>
      </w:r>
      <w:r w:rsidRPr="00AB7E91">
        <w:rPr>
          <w:vertAlign w:val="superscript"/>
        </w:rPr>
        <w:t>+</w:t>
      </w:r>
      <w:r w:rsidRPr="00AB7E91">
        <w:t> (aq) → 5S(s) + 2Mn</w:t>
      </w:r>
      <w:r w:rsidRPr="00AB7E91">
        <w:rPr>
          <w:vertAlign w:val="superscript"/>
        </w:rPr>
        <w:t>2+</w:t>
      </w:r>
      <w:r w:rsidRPr="00AB7E91">
        <w:t> (aq) + 8H</w:t>
      </w:r>
      <w:r w:rsidRPr="00AB7E91">
        <w:rPr>
          <w:vertAlign w:val="subscript"/>
        </w:rPr>
        <w:t>2</w:t>
      </w:r>
      <w:r w:rsidRPr="00AB7E91">
        <w:t> O(l)</w:t>
      </w:r>
    </w:p>
    <w:p w14:paraId="2BB850D1" w14:textId="15310141" w:rsidR="0073567E" w:rsidRDefault="0073567E" w:rsidP="0073567E">
      <w:pPr>
        <w:pStyle w:val="Heading2"/>
        <w:rPr>
          <w:lang w:val="en-US"/>
        </w:rPr>
      </w:pPr>
      <w:r>
        <w:rPr>
          <w:lang w:val="en-US"/>
        </w:rPr>
        <w:t>Health, safety and technical notes</w:t>
      </w:r>
    </w:p>
    <w:p w14:paraId="1409D669" w14:textId="77777777" w:rsidR="002D25A3" w:rsidRPr="002D25A3" w:rsidRDefault="002D25A3" w:rsidP="002D25A3">
      <w:pPr>
        <w:rPr>
          <w:lang w:val="en-US"/>
        </w:rPr>
      </w:pPr>
    </w:p>
    <w:p w14:paraId="3DC287A6" w14:textId="7A8B8A28" w:rsidR="004D5134" w:rsidRPr="004D5134" w:rsidRDefault="004D5134" w:rsidP="004D5134">
      <w:pPr>
        <w:numPr>
          <w:ilvl w:val="0"/>
          <w:numId w:val="7"/>
        </w:numPr>
        <w:spacing w:after="120"/>
        <w:ind w:left="714" w:hanging="357"/>
      </w:pPr>
      <w:r w:rsidRPr="004D5134">
        <w:t>Read our standard health and safety guidance</w:t>
      </w:r>
      <w:r w:rsidR="00F26A52">
        <w:t xml:space="preserve"> (</w:t>
      </w:r>
      <w:hyperlink r:id="rId12" w:history="1">
        <w:r w:rsidR="00F26A52" w:rsidRPr="00600A66">
          <w:rPr>
            <w:rStyle w:val="Hyperlink"/>
          </w:rPr>
          <w:t>https://rsc.li/3ybzMjh</w:t>
        </w:r>
      </w:hyperlink>
      <w:r w:rsidR="00F26A52">
        <w:t>).</w:t>
      </w:r>
    </w:p>
    <w:p w14:paraId="6ADAB063" w14:textId="77777777" w:rsidR="004D5134" w:rsidRPr="004D5134" w:rsidRDefault="004D5134" w:rsidP="004D5134">
      <w:pPr>
        <w:numPr>
          <w:ilvl w:val="0"/>
          <w:numId w:val="7"/>
        </w:numPr>
        <w:spacing w:after="120"/>
        <w:ind w:left="714" w:hanging="357"/>
      </w:pPr>
      <w:r w:rsidRPr="004D5134">
        <w:t>Wear eye protection throughout (splash-resistant goggles to BS EN166 3) and work in a well-ventilated room.</w:t>
      </w:r>
    </w:p>
    <w:p w14:paraId="62ADB1EF" w14:textId="77777777" w:rsidR="004D5134" w:rsidRPr="004D5134" w:rsidRDefault="004D5134" w:rsidP="004D5134">
      <w:pPr>
        <w:numPr>
          <w:ilvl w:val="0"/>
          <w:numId w:val="7"/>
        </w:numPr>
        <w:spacing w:after="120"/>
        <w:ind w:left="714" w:hanging="357"/>
      </w:pPr>
      <w:r w:rsidRPr="004D5134">
        <w:t>Hydrogen sulfide – see CLEAPSS Hazcard HC051A. Hydrogen sulfide is an extremely poisonous gas but because it can be detected by smell at very low concentrations it is much less dangerous than other gases such as carbon monoxide which, although less poisonous, cannot be detected by smell.</w:t>
      </w:r>
    </w:p>
    <w:p w14:paraId="3C901449" w14:textId="77777777" w:rsidR="004D5134" w:rsidRPr="004D5134" w:rsidRDefault="004D5134" w:rsidP="004D5134">
      <w:pPr>
        <w:numPr>
          <w:ilvl w:val="0"/>
          <w:numId w:val="7"/>
        </w:numPr>
        <w:spacing w:after="120"/>
        <w:ind w:left="714" w:hanging="357"/>
      </w:pPr>
      <w:r w:rsidRPr="004D5134">
        <w:t>Sulfuric acid – see CLEAPSS Hazcard HC098a and CLEAPSS Recipe Book RB098. At the concentration used, sulfuric acid is a skin/eye irritant.</w:t>
      </w:r>
    </w:p>
    <w:p w14:paraId="7E671506" w14:textId="77777777" w:rsidR="004D5134" w:rsidRPr="004D5134" w:rsidRDefault="004D5134" w:rsidP="004D5134">
      <w:pPr>
        <w:numPr>
          <w:ilvl w:val="0"/>
          <w:numId w:val="7"/>
        </w:numPr>
        <w:spacing w:after="120"/>
        <w:ind w:left="714" w:hanging="357"/>
      </w:pPr>
      <w:r w:rsidRPr="004D5134">
        <w:t>Lead nitrate, Pb(NO</w:t>
      </w:r>
      <w:r w:rsidRPr="004D5134">
        <w:rPr>
          <w:vertAlign w:val="subscript"/>
        </w:rPr>
        <w:t>3</w:t>
      </w:r>
      <w:r w:rsidRPr="004D5134">
        <w:t>)</w:t>
      </w:r>
      <w:r w:rsidRPr="004D5134">
        <w:rPr>
          <w:vertAlign w:val="subscript"/>
        </w:rPr>
        <w:t>2</w:t>
      </w:r>
      <w:r w:rsidRPr="004D5134">
        <w:t>(aq) – see CLEAPSS Hazcard HC057a and CLEAPSS Recipe Book RB053. At the concentration used, lead nitrate is a reproductive toxin, causes eye damage, causes damage to organs (especially the CNS) and is harmful to the aquatic environment. Avoid inhalation and skin contact.</w:t>
      </w:r>
    </w:p>
    <w:p w14:paraId="539E8595" w14:textId="77777777" w:rsidR="004D5134" w:rsidRPr="004D5134" w:rsidRDefault="004D5134" w:rsidP="004D5134">
      <w:pPr>
        <w:numPr>
          <w:ilvl w:val="0"/>
          <w:numId w:val="7"/>
        </w:numPr>
        <w:spacing w:after="120"/>
        <w:ind w:left="714" w:hanging="357"/>
      </w:pPr>
      <w:r w:rsidRPr="004D5134">
        <w:t>Silver nitrate – see CLEAPSS Hazcard HC087 and CLEAPSS Recipe Book RB077. At the concentration used, silver nitrate causes eye damage and is harmful to the aquatic environment.</w:t>
      </w:r>
    </w:p>
    <w:p w14:paraId="03778F75" w14:textId="77777777" w:rsidR="004D5134" w:rsidRPr="004D5134" w:rsidRDefault="004D5134" w:rsidP="004D5134">
      <w:pPr>
        <w:numPr>
          <w:ilvl w:val="0"/>
          <w:numId w:val="7"/>
        </w:numPr>
        <w:spacing w:after="120"/>
        <w:ind w:left="714" w:hanging="357"/>
      </w:pPr>
      <w:r w:rsidRPr="004D5134">
        <w:t>The following chemicals are of low hazard:</w:t>
      </w:r>
    </w:p>
    <w:p w14:paraId="1CC72551" w14:textId="77777777" w:rsidR="004D5134" w:rsidRPr="004D5134" w:rsidRDefault="004D5134" w:rsidP="004D5134">
      <w:pPr>
        <w:numPr>
          <w:ilvl w:val="1"/>
          <w:numId w:val="7"/>
        </w:numPr>
        <w:spacing w:after="120"/>
      </w:pPr>
      <w:r w:rsidRPr="004D5134">
        <w:t>Zinc sulfide – see CLEAPSS Hazcard HC108b.</w:t>
      </w:r>
    </w:p>
    <w:p w14:paraId="1EEF558A" w14:textId="77777777" w:rsidR="004D5134" w:rsidRPr="004D5134" w:rsidRDefault="004D5134" w:rsidP="004D5134">
      <w:pPr>
        <w:numPr>
          <w:ilvl w:val="1"/>
          <w:numId w:val="7"/>
        </w:numPr>
        <w:spacing w:after="120"/>
      </w:pPr>
      <w:r w:rsidRPr="004D5134">
        <w:t>Hydrochloric acid – see CLEAPSS Hazcard HC047a and CLEAPSS Recipe Book RB043.</w:t>
      </w:r>
    </w:p>
    <w:p w14:paraId="31915E25" w14:textId="3423ED3C" w:rsidR="0073567E" w:rsidRPr="0073567E" w:rsidRDefault="004D5134" w:rsidP="004D5134">
      <w:pPr>
        <w:numPr>
          <w:ilvl w:val="1"/>
          <w:numId w:val="7"/>
        </w:numPr>
        <w:spacing w:after="120"/>
      </w:pPr>
      <w:r w:rsidRPr="004D5134">
        <w:t>Potassium manganate(VII), at the concentration used – see CLEAPSS Hazcard HC081 and CLEAPSS Recipe Book RB073.</w:t>
      </w:r>
    </w:p>
    <w:sectPr w:rsidR="0073567E" w:rsidRPr="0073567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F6B0" w14:textId="77777777" w:rsidR="006568E2" w:rsidRDefault="006568E2" w:rsidP="00883634">
      <w:pPr>
        <w:spacing w:line="240" w:lineRule="auto"/>
      </w:pPr>
      <w:r>
        <w:separator/>
      </w:r>
    </w:p>
  </w:endnote>
  <w:endnote w:type="continuationSeparator" w:id="0">
    <w:p w14:paraId="22D326CD" w14:textId="77777777" w:rsidR="006568E2" w:rsidRDefault="006568E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4585" w14:textId="77777777" w:rsidR="0040764C" w:rsidRDefault="00407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5A33A700"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40764C" w:rsidRPr="005C6F17">
        <w:rPr>
          <w:rStyle w:val="Hyperlink"/>
          <w:sz w:val="16"/>
          <w:szCs w:val="16"/>
        </w:rPr>
        <w:t>https://rsc.li/3a41ggf</w:t>
      </w:r>
    </w:hyperlink>
    <w:r w:rsidR="0040764C">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62B1" w14:textId="77777777" w:rsidR="0040764C" w:rsidRDefault="0040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CE86D" w14:textId="77777777" w:rsidR="006568E2" w:rsidRDefault="006568E2" w:rsidP="00883634">
      <w:pPr>
        <w:spacing w:line="240" w:lineRule="auto"/>
      </w:pPr>
      <w:r>
        <w:separator/>
      </w:r>
    </w:p>
  </w:footnote>
  <w:footnote w:type="continuationSeparator" w:id="0">
    <w:p w14:paraId="41E337A6" w14:textId="77777777" w:rsidR="006568E2" w:rsidRDefault="006568E2"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AC4D" w14:textId="77777777" w:rsidR="0040764C" w:rsidRDefault="00407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CC56" w14:textId="77777777" w:rsidR="0040764C" w:rsidRDefault="00407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C978" w14:textId="77777777" w:rsidR="0040764C" w:rsidRDefault="00407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206"/>
    <w:multiLevelType w:val="multilevel"/>
    <w:tmpl w:val="CD50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8681E"/>
    <w:multiLevelType w:val="multilevel"/>
    <w:tmpl w:val="1AFC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70A49"/>
    <w:multiLevelType w:val="multilevel"/>
    <w:tmpl w:val="7C7E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702DE"/>
    <w:multiLevelType w:val="multilevel"/>
    <w:tmpl w:val="5F2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11D60"/>
    <w:multiLevelType w:val="multilevel"/>
    <w:tmpl w:val="5DE0B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436DB"/>
    <w:multiLevelType w:val="multilevel"/>
    <w:tmpl w:val="38C2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F7171"/>
    <w:multiLevelType w:val="multilevel"/>
    <w:tmpl w:val="79C2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9C574F"/>
    <w:multiLevelType w:val="multilevel"/>
    <w:tmpl w:val="843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7"/>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243"/>
    <w:rsid w:val="000259B8"/>
    <w:rsid w:val="000429EF"/>
    <w:rsid w:val="0010594E"/>
    <w:rsid w:val="00107A74"/>
    <w:rsid w:val="00121D41"/>
    <w:rsid w:val="0015353F"/>
    <w:rsid w:val="001546EA"/>
    <w:rsid w:val="001554E7"/>
    <w:rsid w:val="001637E5"/>
    <w:rsid w:val="00196E56"/>
    <w:rsid w:val="002D25A3"/>
    <w:rsid w:val="002E173F"/>
    <w:rsid w:val="00315C09"/>
    <w:rsid w:val="00333B25"/>
    <w:rsid w:val="00357DE0"/>
    <w:rsid w:val="00384C00"/>
    <w:rsid w:val="003F3444"/>
    <w:rsid w:val="00402AB6"/>
    <w:rsid w:val="0040764C"/>
    <w:rsid w:val="00417058"/>
    <w:rsid w:val="00452BAE"/>
    <w:rsid w:val="004D5134"/>
    <w:rsid w:val="004F37DE"/>
    <w:rsid w:val="00530E52"/>
    <w:rsid w:val="0054013D"/>
    <w:rsid w:val="005D095D"/>
    <w:rsid w:val="005E2D53"/>
    <w:rsid w:val="005F10C0"/>
    <w:rsid w:val="006568E2"/>
    <w:rsid w:val="006920A7"/>
    <w:rsid w:val="006A7649"/>
    <w:rsid w:val="006B1BE4"/>
    <w:rsid w:val="006B2D5F"/>
    <w:rsid w:val="006E6495"/>
    <w:rsid w:val="006F11C7"/>
    <w:rsid w:val="006F1D7B"/>
    <w:rsid w:val="0073567E"/>
    <w:rsid w:val="007605CF"/>
    <w:rsid w:val="007648CD"/>
    <w:rsid w:val="00795D31"/>
    <w:rsid w:val="007B29DA"/>
    <w:rsid w:val="00801C93"/>
    <w:rsid w:val="00883634"/>
    <w:rsid w:val="008D2638"/>
    <w:rsid w:val="008D315F"/>
    <w:rsid w:val="00942589"/>
    <w:rsid w:val="00944467"/>
    <w:rsid w:val="009A4E4D"/>
    <w:rsid w:val="009C28B0"/>
    <w:rsid w:val="009C6C7F"/>
    <w:rsid w:val="00AA6962"/>
    <w:rsid w:val="00AB7E91"/>
    <w:rsid w:val="00AD3FFE"/>
    <w:rsid w:val="00B2046D"/>
    <w:rsid w:val="00B659DE"/>
    <w:rsid w:val="00B802D2"/>
    <w:rsid w:val="00BC5C4C"/>
    <w:rsid w:val="00BC7C98"/>
    <w:rsid w:val="00C0182D"/>
    <w:rsid w:val="00CF5E46"/>
    <w:rsid w:val="00D15C73"/>
    <w:rsid w:val="00D32040"/>
    <w:rsid w:val="00D7777E"/>
    <w:rsid w:val="00DC4499"/>
    <w:rsid w:val="00E04D15"/>
    <w:rsid w:val="00E6281A"/>
    <w:rsid w:val="00E64520"/>
    <w:rsid w:val="00E66942"/>
    <w:rsid w:val="00EA245E"/>
    <w:rsid w:val="00EB21AA"/>
    <w:rsid w:val="00EE4ECC"/>
    <w:rsid w:val="00EE7B55"/>
    <w:rsid w:val="00F26A52"/>
    <w:rsid w:val="00F36FC4"/>
    <w:rsid w:val="00F93ED9"/>
    <w:rsid w:val="00F95D12"/>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character" w:styleId="UnresolvedMention">
    <w:name w:val="Unresolved Mention"/>
    <w:basedOn w:val="DefaultParagraphFont"/>
    <w:uiPriority w:val="99"/>
    <w:semiHidden/>
    <w:unhideWhenUsed/>
    <w:rsid w:val="0040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6621">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03980312">
      <w:bodyDiv w:val="1"/>
      <w:marLeft w:val="0"/>
      <w:marRight w:val="0"/>
      <w:marTop w:val="0"/>
      <w:marBottom w:val="0"/>
      <w:divBdr>
        <w:top w:val="none" w:sz="0" w:space="0" w:color="auto"/>
        <w:left w:val="none" w:sz="0" w:space="0" w:color="auto"/>
        <w:bottom w:val="none" w:sz="0" w:space="0" w:color="auto"/>
        <w:right w:val="none" w:sz="0" w:space="0" w:color="auto"/>
      </w:divBdr>
    </w:div>
    <w:div w:id="260572812">
      <w:bodyDiv w:val="1"/>
      <w:marLeft w:val="0"/>
      <w:marRight w:val="0"/>
      <w:marTop w:val="0"/>
      <w:marBottom w:val="0"/>
      <w:divBdr>
        <w:top w:val="none" w:sz="0" w:space="0" w:color="auto"/>
        <w:left w:val="none" w:sz="0" w:space="0" w:color="auto"/>
        <w:bottom w:val="none" w:sz="0" w:space="0" w:color="auto"/>
        <w:right w:val="none" w:sz="0" w:space="0" w:color="auto"/>
      </w:divBdr>
    </w:div>
    <w:div w:id="574903486">
      <w:bodyDiv w:val="1"/>
      <w:marLeft w:val="0"/>
      <w:marRight w:val="0"/>
      <w:marTop w:val="0"/>
      <w:marBottom w:val="0"/>
      <w:divBdr>
        <w:top w:val="none" w:sz="0" w:space="0" w:color="auto"/>
        <w:left w:val="none" w:sz="0" w:space="0" w:color="auto"/>
        <w:bottom w:val="none" w:sz="0" w:space="0" w:color="auto"/>
        <w:right w:val="none" w:sz="0" w:space="0" w:color="auto"/>
      </w:divBdr>
    </w:div>
    <w:div w:id="656492566">
      <w:bodyDiv w:val="1"/>
      <w:marLeft w:val="0"/>
      <w:marRight w:val="0"/>
      <w:marTop w:val="0"/>
      <w:marBottom w:val="0"/>
      <w:divBdr>
        <w:top w:val="none" w:sz="0" w:space="0" w:color="auto"/>
        <w:left w:val="none" w:sz="0" w:space="0" w:color="auto"/>
        <w:bottom w:val="none" w:sz="0" w:space="0" w:color="auto"/>
        <w:right w:val="none" w:sz="0" w:space="0" w:color="auto"/>
      </w:divBdr>
    </w:div>
    <w:div w:id="660230539">
      <w:bodyDiv w:val="1"/>
      <w:marLeft w:val="0"/>
      <w:marRight w:val="0"/>
      <w:marTop w:val="0"/>
      <w:marBottom w:val="0"/>
      <w:divBdr>
        <w:top w:val="none" w:sz="0" w:space="0" w:color="auto"/>
        <w:left w:val="none" w:sz="0" w:space="0" w:color="auto"/>
        <w:bottom w:val="none" w:sz="0" w:space="0" w:color="auto"/>
        <w:right w:val="none" w:sz="0" w:space="0" w:color="auto"/>
      </w:divBdr>
    </w:div>
    <w:div w:id="693965482">
      <w:bodyDiv w:val="1"/>
      <w:marLeft w:val="0"/>
      <w:marRight w:val="0"/>
      <w:marTop w:val="0"/>
      <w:marBottom w:val="0"/>
      <w:divBdr>
        <w:top w:val="none" w:sz="0" w:space="0" w:color="auto"/>
        <w:left w:val="none" w:sz="0" w:space="0" w:color="auto"/>
        <w:bottom w:val="none" w:sz="0" w:space="0" w:color="auto"/>
        <w:right w:val="none" w:sz="0" w:space="0" w:color="auto"/>
      </w:divBdr>
    </w:div>
    <w:div w:id="778110427">
      <w:bodyDiv w:val="1"/>
      <w:marLeft w:val="0"/>
      <w:marRight w:val="0"/>
      <w:marTop w:val="0"/>
      <w:marBottom w:val="0"/>
      <w:divBdr>
        <w:top w:val="none" w:sz="0" w:space="0" w:color="auto"/>
        <w:left w:val="none" w:sz="0" w:space="0" w:color="auto"/>
        <w:bottom w:val="none" w:sz="0" w:space="0" w:color="auto"/>
        <w:right w:val="none" w:sz="0" w:space="0" w:color="auto"/>
      </w:divBdr>
    </w:div>
    <w:div w:id="941493154">
      <w:bodyDiv w:val="1"/>
      <w:marLeft w:val="0"/>
      <w:marRight w:val="0"/>
      <w:marTop w:val="0"/>
      <w:marBottom w:val="0"/>
      <w:divBdr>
        <w:top w:val="none" w:sz="0" w:space="0" w:color="auto"/>
        <w:left w:val="none" w:sz="0" w:space="0" w:color="auto"/>
        <w:bottom w:val="none" w:sz="0" w:space="0" w:color="auto"/>
        <w:right w:val="none" w:sz="0" w:space="0" w:color="auto"/>
      </w:divBdr>
    </w:div>
    <w:div w:id="986856808">
      <w:bodyDiv w:val="1"/>
      <w:marLeft w:val="0"/>
      <w:marRight w:val="0"/>
      <w:marTop w:val="0"/>
      <w:marBottom w:val="0"/>
      <w:divBdr>
        <w:top w:val="none" w:sz="0" w:space="0" w:color="auto"/>
        <w:left w:val="none" w:sz="0" w:space="0" w:color="auto"/>
        <w:bottom w:val="none" w:sz="0" w:space="0" w:color="auto"/>
        <w:right w:val="none" w:sz="0" w:space="0" w:color="auto"/>
      </w:divBdr>
    </w:div>
    <w:div w:id="996299377">
      <w:bodyDiv w:val="1"/>
      <w:marLeft w:val="0"/>
      <w:marRight w:val="0"/>
      <w:marTop w:val="0"/>
      <w:marBottom w:val="0"/>
      <w:divBdr>
        <w:top w:val="none" w:sz="0" w:space="0" w:color="auto"/>
        <w:left w:val="none" w:sz="0" w:space="0" w:color="auto"/>
        <w:bottom w:val="none" w:sz="0" w:space="0" w:color="auto"/>
        <w:right w:val="none" w:sz="0" w:space="0" w:color="auto"/>
      </w:divBdr>
    </w:div>
    <w:div w:id="1003246409">
      <w:bodyDiv w:val="1"/>
      <w:marLeft w:val="0"/>
      <w:marRight w:val="0"/>
      <w:marTop w:val="0"/>
      <w:marBottom w:val="0"/>
      <w:divBdr>
        <w:top w:val="none" w:sz="0" w:space="0" w:color="auto"/>
        <w:left w:val="none" w:sz="0" w:space="0" w:color="auto"/>
        <w:bottom w:val="none" w:sz="0" w:space="0" w:color="auto"/>
        <w:right w:val="none" w:sz="0" w:space="0" w:color="auto"/>
      </w:divBdr>
    </w:div>
    <w:div w:id="1303656599">
      <w:bodyDiv w:val="1"/>
      <w:marLeft w:val="0"/>
      <w:marRight w:val="0"/>
      <w:marTop w:val="0"/>
      <w:marBottom w:val="0"/>
      <w:divBdr>
        <w:top w:val="none" w:sz="0" w:space="0" w:color="auto"/>
        <w:left w:val="none" w:sz="0" w:space="0" w:color="auto"/>
        <w:bottom w:val="none" w:sz="0" w:space="0" w:color="auto"/>
        <w:right w:val="none" w:sz="0" w:space="0" w:color="auto"/>
      </w:divBdr>
    </w:div>
    <w:div w:id="1370109763">
      <w:bodyDiv w:val="1"/>
      <w:marLeft w:val="0"/>
      <w:marRight w:val="0"/>
      <w:marTop w:val="0"/>
      <w:marBottom w:val="0"/>
      <w:divBdr>
        <w:top w:val="none" w:sz="0" w:space="0" w:color="auto"/>
        <w:left w:val="none" w:sz="0" w:space="0" w:color="auto"/>
        <w:bottom w:val="none" w:sz="0" w:space="0" w:color="auto"/>
        <w:right w:val="none" w:sz="0" w:space="0" w:color="auto"/>
      </w:divBdr>
    </w:div>
    <w:div w:id="1506167865">
      <w:bodyDiv w:val="1"/>
      <w:marLeft w:val="0"/>
      <w:marRight w:val="0"/>
      <w:marTop w:val="0"/>
      <w:marBottom w:val="0"/>
      <w:divBdr>
        <w:top w:val="none" w:sz="0" w:space="0" w:color="auto"/>
        <w:left w:val="none" w:sz="0" w:space="0" w:color="auto"/>
        <w:bottom w:val="none" w:sz="0" w:space="0" w:color="auto"/>
        <w:right w:val="none" w:sz="0" w:space="0" w:color="auto"/>
      </w:divBdr>
    </w:div>
    <w:div w:id="1731341513">
      <w:bodyDiv w:val="1"/>
      <w:marLeft w:val="0"/>
      <w:marRight w:val="0"/>
      <w:marTop w:val="0"/>
      <w:marBottom w:val="0"/>
      <w:divBdr>
        <w:top w:val="none" w:sz="0" w:space="0" w:color="auto"/>
        <w:left w:val="none" w:sz="0" w:space="0" w:color="auto"/>
        <w:bottom w:val="none" w:sz="0" w:space="0" w:color="auto"/>
        <w:right w:val="none" w:sz="0" w:space="0" w:color="auto"/>
      </w:divBdr>
    </w:div>
    <w:div w:id="1924752481">
      <w:bodyDiv w:val="1"/>
      <w:marLeft w:val="0"/>
      <w:marRight w:val="0"/>
      <w:marTop w:val="0"/>
      <w:marBottom w:val="0"/>
      <w:divBdr>
        <w:top w:val="none" w:sz="0" w:space="0" w:color="auto"/>
        <w:left w:val="none" w:sz="0" w:space="0" w:color="auto"/>
        <w:bottom w:val="none" w:sz="0" w:space="0" w:color="auto"/>
        <w:right w:val="none" w:sz="0" w:space="0" w:color="auto"/>
      </w:divBdr>
    </w:div>
    <w:div w:id="20786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ybzMj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QTycSj"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rsc.li/3a41ggf"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B4C86-986B-44BD-9AA9-2B30926E0644}">
  <ds:schemaRefs>
    <ds:schemaRef ds:uri="http://schemas.openxmlformats.org/officeDocument/2006/bibliography"/>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Microscale reactions of hydrogen sulfide - student sheet</vt:lpstr>
    </vt:vector>
  </TitlesOfParts>
  <Company>Royal Society Of Chemistry</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reactions of hydrogen sulfide - teacher notes</dc:title>
  <dc:subject>Use these teacher notes with the accompanying practical guidance to conduct a microscale experiment exploring reactions of hydrogen sulfide with your students.</dc:subject>
  <dc:creator>Royal Society of Chemistry</dc:creator>
  <cp:keywords/>
  <dc:description/>
  <cp:lastModifiedBy>Chris Runciman</cp:lastModifiedBy>
  <cp:revision>14</cp:revision>
  <dcterms:created xsi:type="dcterms:W3CDTF">2021-05-04T10:31:00Z</dcterms:created>
  <dcterms:modified xsi:type="dcterms:W3CDTF">2021-05-13T13:26:00Z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