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E1A37" w14:textId="1968D8FE" w:rsidR="009C6C7F" w:rsidRDefault="004B6E33" w:rsidP="006E6495">
      <w:pPr>
        <w:pStyle w:val="Heading1"/>
      </w:pPr>
      <w:r>
        <w:t xml:space="preserve">Testing for unsaturation with bromine – </w:t>
      </w:r>
      <w:r w:rsidR="001A3268">
        <w:t>teacher notes</w:t>
      </w:r>
    </w:p>
    <w:p w14:paraId="665941F7" w14:textId="09449BB1" w:rsidR="001A3268" w:rsidRDefault="001A3268" w:rsidP="001A3268"/>
    <w:p w14:paraId="7D46C1A4" w14:textId="5C77F089" w:rsidR="00E16B4D" w:rsidRDefault="001A3268" w:rsidP="00E16B4D">
      <w:r>
        <w:t xml:space="preserve">In this experiment students use a solution of bromine in hexane to detect whether an organic compound is unsaturated. </w:t>
      </w:r>
      <w:r w:rsidR="00E16B4D">
        <w:t xml:space="preserve">The hexane solution is made as described below. </w:t>
      </w:r>
      <w:r w:rsidR="00E16B4D" w:rsidRPr="00E16B4D">
        <w:t>The solution mixes easily with non-polar organic compounds such as cyclohexane, cyclohexene and limonene. Unsaturated compounds rapidly decolorise the bromine.</w:t>
      </w:r>
    </w:p>
    <w:p w14:paraId="246B71DF" w14:textId="7678E5C2" w:rsidR="00E16B4D" w:rsidRDefault="00E16B4D" w:rsidP="00E16B4D">
      <w:pPr>
        <w:pStyle w:val="Heading2"/>
      </w:pPr>
      <w:r>
        <w:t>Topic</w:t>
      </w:r>
    </w:p>
    <w:p w14:paraId="17132782" w14:textId="54DF6C95" w:rsidR="00E16B4D" w:rsidRDefault="00E16B4D" w:rsidP="00E16B4D"/>
    <w:p w14:paraId="1A557F7A" w14:textId="6291CF8E" w:rsidR="00E16B4D" w:rsidRDefault="00E16B4D" w:rsidP="00E16B4D">
      <w:r>
        <w:t>Reactions of bromine and unsaturated organic molecules</w:t>
      </w:r>
    </w:p>
    <w:p w14:paraId="60E6FBA5" w14:textId="6F7E8C12" w:rsidR="00E16B4D" w:rsidRDefault="00E16B4D" w:rsidP="00E16B4D">
      <w:pPr>
        <w:pStyle w:val="Heading2"/>
      </w:pPr>
      <w:r>
        <w:t>Timing</w:t>
      </w:r>
    </w:p>
    <w:p w14:paraId="64D083E0" w14:textId="2E601399" w:rsidR="00E16B4D" w:rsidRDefault="00E16B4D" w:rsidP="00E16B4D"/>
    <w:p w14:paraId="36DCABA6" w14:textId="706B7BE7" w:rsidR="00E16B4D" w:rsidRPr="00E16B4D" w:rsidRDefault="00E16B4D" w:rsidP="00E16B4D">
      <w:r>
        <w:t>15 minutes</w:t>
      </w:r>
    </w:p>
    <w:p w14:paraId="6BD8EAEC" w14:textId="26367BA0" w:rsidR="00EE7B55" w:rsidRDefault="00045733" w:rsidP="00045733">
      <w:pPr>
        <w:pStyle w:val="Heading2"/>
      </w:pPr>
      <w:r>
        <w:t>Equipment</w:t>
      </w:r>
    </w:p>
    <w:p w14:paraId="13318331" w14:textId="6D82AF03" w:rsidR="00045733" w:rsidRDefault="00045733" w:rsidP="00045733"/>
    <w:p w14:paraId="4980F97B" w14:textId="56182802" w:rsidR="00045733" w:rsidRDefault="00045733" w:rsidP="00045733">
      <w:pPr>
        <w:pStyle w:val="Heading3"/>
      </w:pPr>
      <w:r>
        <w:t>Apparatus</w:t>
      </w:r>
    </w:p>
    <w:p w14:paraId="77C3C26B" w14:textId="2C068014" w:rsidR="00F05F4A" w:rsidRDefault="00F05F4A" w:rsidP="00F05F4A"/>
    <w:p w14:paraId="106C46D3" w14:textId="32A43ACA" w:rsidR="00F05F4A" w:rsidRPr="00F05F4A" w:rsidRDefault="00F05F4A" w:rsidP="00F05F4A">
      <w:pPr>
        <w:pStyle w:val="ListParagraph"/>
        <w:numPr>
          <w:ilvl w:val="0"/>
          <w:numId w:val="14"/>
        </w:numPr>
      </w:pPr>
      <w:r>
        <w:t>Eye protection</w:t>
      </w:r>
    </w:p>
    <w:p w14:paraId="0D135789" w14:textId="3A11EA40" w:rsidR="00045733" w:rsidRDefault="00045733" w:rsidP="00045733"/>
    <w:p w14:paraId="5BA4D8C0" w14:textId="2B8D5205" w:rsidR="00060474" w:rsidRPr="00060474" w:rsidRDefault="00060474" w:rsidP="00060474">
      <w:r>
        <w:t>For p</w:t>
      </w:r>
      <w:r w:rsidRPr="00060474">
        <w:t>reparing a solution of bromine in hexane</w:t>
      </w:r>
      <w:r>
        <w:t>:</w:t>
      </w:r>
    </w:p>
    <w:p w14:paraId="27D1FBD2" w14:textId="77777777" w:rsidR="00060474" w:rsidRPr="00060474" w:rsidRDefault="00060474" w:rsidP="00060474">
      <w:pPr>
        <w:rPr>
          <w:b/>
          <w:bCs/>
        </w:rPr>
      </w:pPr>
    </w:p>
    <w:p w14:paraId="5E1C223A" w14:textId="77777777" w:rsidR="00060474" w:rsidRPr="00060474" w:rsidRDefault="00060474" w:rsidP="000A72B6">
      <w:pPr>
        <w:numPr>
          <w:ilvl w:val="0"/>
          <w:numId w:val="6"/>
        </w:numPr>
        <w:spacing w:after="120"/>
        <w:ind w:left="714" w:hanging="357"/>
      </w:pPr>
      <w:r w:rsidRPr="00060474">
        <w:t>Plastic well-plate, 24 wells (eg Sigma ref: CLS3526)</w:t>
      </w:r>
    </w:p>
    <w:p w14:paraId="7859FB29" w14:textId="3CD42D02" w:rsidR="00060474" w:rsidRDefault="00060474" w:rsidP="00060474">
      <w:pPr>
        <w:numPr>
          <w:ilvl w:val="0"/>
          <w:numId w:val="6"/>
        </w:numPr>
      </w:pPr>
      <w:r w:rsidRPr="00060474">
        <w:t>Plastic pipette, standard form (eg Aldrich ref: 213, 500-3)</w:t>
      </w:r>
    </w:p>
    <w:p w14:paraId="32CF6784" w14:textId="77777777" w:rsidR="00060474" w:rsidRPr="00060474" w:rsidRDefault="00060474" w:rsidP="00060474"/>
    <w:p w14:paraId="2F0549E8" w14:textId="62BD4653" w:rsidR="00060474" w:rsidRPr="00060474" w:rsidRDefault="00060474" w:rsidP="00060474">
      <w:r w:rsidRPr="00060474">
        <w:t>For testing for unsaturation:</w:t>
      </w:r>
    </w:p>
    <w:p w14:paraId="003A19FF" w14:textId="77777777" w:rsidR="00060474" w:rsidRPr="00060474" w:rsidRDefault="00060474" w:rsidP="00060474">
      <w:pPr>
        <w:rPr>
          <w:b/>
          <w:bCs/>
        </w:rPr>
      </w:pPr>
    </w:p>
    <w:p w14:paraId="78F1266A" w14:textId="77777777" w:rsidR="00060474" w:rsidRPr="00060474" w:rsidRDefault="00060474" w:rsidP="000A72B6">
      <w:pPr>
        <w:numPr>
          <w:ilvl w:val="0"/>
          <w:numId w:val="7"/>
        </w:numPr>
        <w:spacing w:after="120"/>
        <w:ind w:left="714" w:hanging="357"/>
      </w:pPr>
      <w:r w:rsidRPr="00060474">
        <w:t>Plastic pipettes</w:t>
      </w:r>
    </w:p>
    <w:p w14:paraId="5C547E07" w14:textId="123FDB83" w:rsidR="00045733" w:rsidRDefault="00060474" w:rsidP="00045733">
      <w:pPr>
        <w:numPr>
          <w:ilvl w:val="0"/>
          <w:numId w:val="7"/>
        </w:numPr>
      </w:pPr>
      <w:r w:rsidRPr="00060474">
        <w:t>Plastic Petri dish</w:t>
      </w:r>
    </w:p>
    <w:p w14:paraId="36D4DFA5" w14:textId="1F94997B" w:rsidR="00060474" w:rsidRDefault="00060474" w:rsidP="00060474"/>
    <w:p w14:paraId="22D0C3AD" w14:textId="4B1EF9C7" w:rsidR="00060474" w:rsidRDefault="00060474" w:rsidP="00060474">
      <w:pPr>
        <w:pStyle w:val="Heading3"/>
      </w:pPr>
      <w:r>
        <w:t>Chemicals</w:t>
      </w:r>
    </w:p>
    <w:p w14:paraId="7E612D58" w14:textId="711571F1" w:rsidR="000A72B6" w:rsidRDefault="000A72B6" w:rsidP="000A72B6"/>
    <w:p w14:paraId="0FD44AEB" w14:textId="228734B3" w:rsidR="00060474" w:rsidRDefault="000A72B6" w:rsidP="00060474">
      <w:r>
        <w:t>For preparing a solution of bromine in hexane:</w:t>
      </w:r>
    </w:p>
    <w:p w14:paraId="37FD6FE6" w14:textId="10BAAABA" w:rsidR="000A72B6" w:rsidRDefault="000A72B6" w:rsidP="00060474"/>
    <w:p w14:paraId="44DB3801" w14:textId="77777777" w:rsidR="000A72B6" w:rsidRPr="000A72B6" w:rsidRDefault="000A72B6" w:rsidP="000A72B6">
      <w:pPr>
        <w:numPr>
          <w:ilvl w:val="0"/>
          <w:numId w:val="9"/>
        </w:numPr>
        <w:spacing w:after="120"/>
        <w:ind w:left="714" w:hanging="357"/>
      </w:pPr>
      <w:r w:rsidRPr="000A72B6">
        <w:t>Potassium bromate(V), 0.1 mol dm</w:t>
      </w:r>
      <w:r w:rsidRPr="000A72B6">
        <w:rPr>
          <w:vertAlign w:val="superscript"/>
        </w:rPr>
        <w:t>–3</w:t>
      </w:r>
    </w:p>
    <w:p w14:paraId="29004E3D" w14:textId="77777777" w:rsidR="000A72B6" w:rsidRPr="000A72B6" w:rsidRDefault="000A72B6" w:rsidP="000A72B6">
      <w:pPr>
        <w:numPr>
          <w:ilvl w:val="0"/>
          <w:numId w:val="9"/>
        </w:numPr>
        <w:spacing w:after="120"/>
        <w:ind w:left="714" w:hanging="357"/>
      </w:pPr>
      <w:r w:rsidRPr="000A72B6">
        <w:t>Potassium bromide, 0.2 mol dm</w:t>
      </w:r>
      <w:r w:rsidRPr="000A72B6">
        <w:rPr>
          <w:vertAlign w:val="superscript"/>
        </w:rPr>
        <w:t>–3</w:t>
      </w:r>
    </w:p>
    <w:p w14:paraId="0BC645C4" w14:textId="77777777" w:rsidR="000A72B6" w:rsidRPr="000A72B6" w:rsidRDefault="000A72B6" w:rsidP="000A72B6">
      <w:pPr>
        <w:numPr>
          <w:ilvl w:val="0"/>
          <w:numId w:val="9"/>
        </w:numPr>
        <w:spacing w:after="120"/>
        <w:ind w:left="714" w:hanging="357"/>
      </w:pPr>
      <w:r w:rsidRPr="000A72B6">
        <w:t>Hydrochloric acid, 1 mol dm</w:t>
      </w:r>
      <w:r w:rsidRPr="000A72B6">
        <w:rPr>
          <w:vertAlign w:val="superscript"/>
        </w:rPr>
        <w:t>–3</w:t>
      </w:r>
    </w:p>
    <w:p w14:paraId="506F2E3E" w14:textId="77777777" w:rsidR="000A72B6" w:rsidRPr="000A72B6" w:rsidRDefault="000A72B6" w:rsidP="000A72B6">
      <w:pPr>
        <w:numPr>
          <w:ilvl w:val="0"/>
          <w:numId w:val="9"/>
        </w:numPr>
      </w:pPr>
      <w:r w:rsidRPr="000A72B6">
        <w:t>Hexane</w:t>
      </w:r>
    </w:p>
    <w:p w14:paraId="64346D65" w14:textId="1A16CC0C" w:rsidR="000A72B6" w:rsidRDefault="000A72B6" w:rsidP="00060474"/>
    <w:p w14:paraId="779EA75F" w14:textId="5AEA8CC0" w:rsidR="000A72B6" w:rsidRDefault="000A72B6" w:rsidP="00060474">
      <w:r>
        <w:t>For testing for unsaturation:</w:t>
      </w:r>
    </w:p>
    <w:p w14:paraId="73268254" w14:textId="10E69C6E" w:rsidR="000A72B6" w:rsidRDefault="000A72B6" w:rsidP="00060474"/>
    <w:p w14:paraId="042E7C3B" w14:textId="77777777" w:rsidR="00F91FB2" w:rsidRPr="00F91FB2" w:rsidRDefault="00F91FB2" w:rsidP="00F91FB2">
      <w:pPr>
        <w:numPr>
          <w:ilvl w:val="0"/>
          <w:numId w:val="10"/>
        </w:numPr>
        <w:spacing w:after="120"/>
        <w:ind w:left="714" w:hanging="357"/>
      </w:pPr>
      <w:r w:rsidRPr="00F91FB2">
        <w:t>Cyclohexane</w:t>
      </w:r>
    </w:p>
    <w:p w14:paraId="06608E85" w14:textId="77777777" w:rsidR="00F91FB2" w:rsidRPr="00F91FB2" w:rsidRDefault="00F91FB2" w:rsidP="00F91FB2">
      <w:pPr>
        <w:numPr>
          <w:ilvl w:val="0"/>
          <w:numId w:val="10"/>
        </w:numPr>
        <w:spacing w:after="120"/>
        <w:ind w:left="714" w:hanging="357"/>
      </w:pPr>
      <w:r w:rsidRPr="00F91FB2">
        <w:t>Cyclohexene</w:t>
      </w:r>
    </w:p>
    <w:p w14:paraId="414848CD" w14:textId="77777777" w:rsidR="00F91FB2" w:rsidRPr="00F91FB2" w:rsidRDefault="00F91FB2" w:rsidP="00F91FB2">
      <w:pPr>
        <w:numPr>
          <w:ilvl w:val="0"/>
          <w:numId w:val="10"/>
        </w:numPr>
        <w:spacing w:after="120"/>
        <w:ind w:left="714" w:hanging="357"/>
      </w:pPr>
      <w:r w:rsidRPr="00F91FB2">
        <w:t>Limonene</w:t>
      </w:r>
    </w:p>
    <w:p w14:paraId="7A0BD032" w14:textId="3D187A18" w:rsidR="00F91FB2" w:rsidRDefault="00F91FB2" w:rsidP="00060474">
      <w:pPr>
        <w:numPr>
          <w:ilvl w:val="0"/>
          <w:numId w:val="10"/>
        </w:numPr>
      </w:pPr>
      <w:r w:rsidRPr="00F91FB2">
        <w:t>Solution of bromine in hexane (see note 9 below for disposal)</w:t>
      </w:r>
    </w:p>
    <w:p w14:paraId="35737C36" w14:textId="77777777" w:rsidR="00F91FB2" w:rsidRDefault="00F91FB2" w:rsidP="00060474"/>
    <w:p w14:paraId="63AB5E14" w14:textId="28B28C31" w:rsidR="00F91FB2" w:rsidRPr="00060474" w:rsidRDefault="00F91FB2" w:rsidP="00060474">
      <w:r w:rsidRPr="002E4EF0">
        <w:lastRenderedPageBreak/>
        <w:t>Solutions</w:t>
      </w:r>
      <w:r>
        <w:t xml:space="preserve"> </w:t>
      </w:r>
      <w:r w:rsidRPr="002E4EF0">
        <w:t>should be contained in plastic pipettes</w:t>
      </w:r>
      <w:r w:rsidR="00F05F4A">
        <w:t>. S</w:t>
      </w:r>
      <w:r w:rsidRPr="002E4EF0">
        <w:t>ee the accompanying guidance on apparatus and techniques for microscale chemistry</w:t>
      </w:r>
      <w:r>
        <w:t xml:space="preserve"> (</w:t>
      </w:r>
      <w:hyperlink r:id="rId11" w:history="1">
        <w:r w:rsidR="00544742" w:rsidRPr="0032376A">
          <w:rPr>
            <w:rStyle w:val="Hyperlink"/>
          </w:rPr>
          <w:t>https://rsc.li/3xOnY6G</w:t>
        </w:r>
      </w:hyperlink>
      <w:r>
        <w:t>)</w:t>
      </w:r>
      <w:r w:rsidR="00F05F4A">
        <w:t xml:space="preserve">, which includes instructions for preparing a variety of </w:t>
      </w:r>
      <w:r w:rsidR="00810EC8">
        <w:t>solutions.</w:t>
      </w:r>
    </w:p>
    <w:p w14:paraId="505B1F5D" w14:textId="30E8F53D" w:rsidR="00944467" w:rsidRDefault="0026084E" w:rsidP="006E6495">
      <w:pPr>
        <w:pStyle w:val="Heading2"/>
      </w:pPr>
      <w:r>
        <w:t>Preparing a solution of bromine in hexane</w:t>
      </w:r>
    </w:p>
    <w:p w14:paraId="58188415" w14:textId="77777777" w:rsidR="00045733" w:rsidRPr="00045733" w:rsidRDefault="00045733" w:rsidP="00045733">
      <w:pPr>
        <w:tabs>
          <w:tab w:val="left" w:pos="3495"/>
        </w:tabs>
      </w:pPr>
    </w:p>
    <w:p w14:paraId="3F8FEC33" w14:textId="3B019245" w:rsidR="00045733" w:rsidRDefault="00045733" w:rsidP="00045733">
      <w:pPr>
        <w:tabs>
          <w:tab w:val="left" w:pos="3495"/>
        </w:tabs>
      </w:pPr>
      <w:r w:rsidRPr="00045733">
        <w:t>In this experiment elemental bromine is formed by a reverse disproportionation reaction between bromate, bromide and acid:</w:t>
      </w:r>
    </w:p>
    <w:p w14:paraId="0FFB6941" w14:textId="77777777" w:rsidR="00045733" w:rsidRPr="00045733" w:rsidRDefault="00045733" w:rsidP="00045733">
      <w:pPr>
        <w:tabs>
          <w:tab w:val="left" w:pos="3495"/>
        </w:tabs>
      </w:pPr>
    </w:p>
    <w:p w14:paraId="4C044782" w14:textId="74C32336" w:rsidR="00045733" w:rsidRDefault="00045733" w:rsidP="00045733">
      <w:pPr>
        <w:tabs>
          <w:tab w:val="left" w:pos="3495"/>
        </w:tabs>
      </w:pPr>
      <w:r w:rsidRPr="00045733">
        <w:t>BrO</w:t>
      </w:r>
      <w:r w:rsidRPr="00045733">
        <w:rPr>
          <w:vertAlign w:val="subscript"/>
        </w:rPr>
        <w:t>3</w:t>
      </w:r>
      <w:r w:rsidRPr="00045733">
        <w:rPr>
          <w:vertAlign w:val="superscript"/>
        </w:rPr>
        <w:t>–</w:t>
      </w:r>
      <w:r w:rsidRPr="00045733">
        <w:t>(aq) + 5Br</w:t>
      </w:r>
      <w:r w:rsidRPr="00045733">
        <w:rPr>
          <w:vertAlign w:val="superscript"/>
        </w:rPr>
        <w:t xml:space="preserve">– </w:t>
      </w:r>
      <w:r w:rsidRPr="00045733">
        <w:t>(aq) + 6H</w:t>
      </w:r>
      <w:r w:rsidRPr="00045733">
        <w:rPr>
          <w:vertAlign w:val="superscript"/>
        </w:rPr>
        <w:t>+</w:t>
      </w:r>
      <w:r w:rsidRPr="00045733">
        <w:t>(aq) → 3Br</w:t>
      </w:r>
      <w:r w:rsidRPr="00045733">
        <w:rPr>
          <w:vertAlign w:val="subscript"/>
        </w:rPr>
        <w:t>2</w:t>
      </w:r>
      <w:r w:rsidRPr="00045733">
        <w:t>(aq) + 3H</w:t>
      </w:r>
      <w:r w:rsidRPr="00045733">
        <w:rPr>
          <w:vertAlign w:val="subscript"/>
        </w:rPr>
        <w:t>2</w:t>
      </w:r>
      <w:r w:rsidRPr="00045733">
        <w:t>O(l)</w:t>
      </w:r>
    </w:p>
    <w:p w14:paraId="7D2AC933" w14:textId="77777777" w:rsidR="00045733" w:rsidRPr="00045733" w:rsidRDefault="00045733" w:rsidP="00045733">
      <w:pPr>
        <w:tabs>
          <w:tab w:val="left" w:pos="3495"/>
        </w:tabs>
      </w:pPr>
    </w:p>
    <w:p w14:paraId="3A742EB3" w14:textId="54A44C33" w:rsidR="00045733" w:rsidRDefault="00045733" w:rsidP="00045733">
      <w:pPr>
        <w:tabs>
          <w:tab w:val="left" w:pos="3495"/>
        </w:tabs>
      </w:pPr>
      <w:r w:rsidRPr="00045733">
        <w:t>The bromine is then extracted into hexane in a plastic pipette which serves as a separating funnel. The resulting solution is decanted into a well-plate chamber and can then be used to test for unsaturation in organic compounds.</w:t>
      </w:r>
    </w:p>
    <w:p w14:paraId="3E0C1CC4" w14:textId="77777777" w:rsidR="00045733" w:rsidRPr="00045733" w:rsidRDefault="00045733" w:rsidP="00045733">
      <w:pPr>
        <w:tabs>
          <w:tab w:val="left" w:pos="3495"/>
        </w:tabs>
      </w:pPr>
    </w:p>
    <w:p w14:paraId="7414FDF3" w14:textId="71B855AE" w:rsidR="0026084E" w:rsidRDefault="00045733" w:rsidP="00045733">
      <w:pPr>
        <w:tabs>
          <w:tab w:val="left" w:pos="3495"/>
        </w:tabs>
      </w:pPr>
      <w:r w:rsidRPr="00045733">
        <w:t>One particular safety advantage of this microscale technique is that it eliminates the need for bottles of bromine and its associated hazards. In addition, the experiment is quite fun to do and illustrates several important chemical principles such as disproportionation, extraction techniques and hydrophilic/hydrophobic properties.</w:t>
      </w:r>
    </w:p>
    <w:p w14:paraId="7B895C61" w14:textId="2CBD41FA" w:rsidR="002B5A51" w:rsidRDefault="002B5A51" w:rsidP="002B5A51">
      <w:pPr>
        <w:pStyle w:val="Heading2"/>
        <w:rPr>
          <w:lang w:val="en-US"/>
        </w:rPr>
      </w:pPr>
      <w:r>
        <w:rPr>
          <w:lang w:val="en-US"/>
        </w:rPr>
        <w:t>Health, safety and technical notes</w:t>
      </w:r>
    </w:p>
    <w:p w14:paraId="7398E809" w14:textId="4C0AA7C4" w:rsidR="00B1430E" w:rsidRDefault="00B1430E" w:rsidP="00B1430E">
      <w:pPr>
        <w:rPr>
          <w:lang w:val="en-US"/>
        </w:rPr>
      </w:pPr>
    </w:p>
    <w:p w14:paraId="43BA25A7" w14:textId="2C7F131E" w:rsidR="00810EC8" w:rsidRPr="00810EC8" w:rsidRDefault="00810EC8" w:rsidP="00810EC8">
      <w:pPr>
        <w:numPr>
          <w:ilvl w:val="0"/>
          <w:numId w:val="15"/>
        </w:numPr>
        <w:spacing w:after="120"/>
      </w:pPr>
      <w:r w:rsidRPr="00810EC8">
        <w:t>Read our standard health and safety guidance</w:t>
      </w:r>
      <w:r w:rsidR="00ED4EA3">
        <w:t xml:space="preserve"> (</w:t>
      </w:r>
      <w:hyperlink r:id="rId12" w:history="1">
        <w:r w:rsidR="00ED4EA3" w:rsidRPr="007F3B0B">
          <w:rPr>
            <w:rStyle w:val="Hyperlink"/>
          </w:rPr>
          <w:t>https://rsc.li/3uV7wzz</w:t>
        </w:r>
      </w:hyperlink>
      <w:r w:rsidR="00ED4EA3">
        <w:t>)</w:t>
      </w:r>
      <w:r w:rsidRPr="00810EC8">
        <w:t>.</w:t>
      </w:r>
    </w:p>
    <w:p w14:paraId="57433D80" w14:textId="77777777" w:rsidR="00810EC8" w:rsidRPr="00810EC8" w:rsidRDefault="00810EC8" w:rsidP="00810EC8">
      <w:pPr>
        <w:numPr>
          <w:ilvl w:val="0"/>
          <w:numId w:val="15"/>
        </w:numPr>
        <w:spacing w:after="120"/>
      </w:pPr>
      <w:r w:rsidRPr="00810EC8">
        <w:t>Wear eye protection throughout. Gloves would be sensible.</w:t>
      </w:r>
    </w:p>
    <w:p w14:paraId="499B3C6E" w14:textId="77777777" w:rsidR="00810EC8" w:rsidRPr="00810EC8" w:rsidRDefault="00810EC8" w:rsidP="00810EC8">
      <w:pPr>
        <w:numPr>
          <w:ilvl w:val="0"/>
          <w:numId w:val="15"/>
        </w:numPr>
        <w:spacing w:after="120"/>
      </w:pPr>
      <w:r w:rsidRPr="00810EC8">
        <w:t>Care should be taken to ensure the solvents do not shoot out of the pipettes when inverted.</w:t>
      </w:r>
    </w:p>
    <w:p w14:paraId="636A1523" w14:textId="77777777" w:rsidR="00810EC8" w:rsidRPr="00810EC8" w:rsidRDefault="00810EC8" w:rsidP="00810EC8">
      <w:pPr>
        <w:numPr>
          <w:ilvl w:val="0"/>
          <w:numId w:val="15"/>
        </w:numPr>
        <w:spacing w:after="120"/>
      </w:pPr>
      <w:r w:rsidRPr="00810EC8">
        <w:t>Cyclohexane – see CLEAPSS Hazcard HC045b. Cyclohexane is highly FLAMMABLE, a skin and respiratory IRRITANT and TOXIC to aquatic life.</w:t>
      </w:r>
    </w:p>
    <w:p w14:paraId="77B9BCFF" w14:textId="77777777" w:rsidR="00810EC8" w:rsidRPr="00810EC8" w:rsidRDefault="00810EC8" w:rsidP="00810EC8">
      <w:pPr>
        <w:numPr>
          <w:ilvl w:val="0"/>
          <w:numId w:val="15"/>
        </w:numPr>
        <w:spacing w:after="120"/>
      </w:pPr>
      <w:r w:rsidRPr="00810EC8">
        <w:t>Cyclohexene – see CLEAPSS Hazcard HC045c. Cyclohexene is a highly FLAMMABLE liquid and vapour, HARMFUL if ingested, TOXIC in contact with skin and for aquatic life.</w:t>
      </w:r>
    </w:p>
    <w:p w14:paraId="2B94884F" w14:textId="77777777" w:rsidR="00810EC8" w:rsidRPr="00810EC8" w:rsidRDefault="00810EC8" w:rsidP="00810EC8">
      <w:pPr>
        <w:numPr>
          <w:ilvl w:val="0"/>
          <w:numId w:val="15"/>
        </w:numPr>
        <w:spacing w:after="120"/>
      </w:pPr>
      <w:r w:rsidRPr="00810EC8">
        <w:t>Limonene – see CLEAPSS Hazcard HC045c. Limonene is FLAMMABLE as liquid and vapour, a skin IRRITANT and sensitiser and TOXIC to aquatic life.</w:t>
      </w:r>
    </w:p>
    <w:p w14:paraId="7C3E1A55" w14:textId="77777777" w:rsidR="00810EC8" w:rsidRPr="00810EC8" w:rsidRDefault="00810EC8" w:rsidP="00810EC8">
      <w:pPr>
        <w:numPr>
          <w:ilvl w:val="0"/>
          <w:numId w:val="15"/>
        </w:numPr>
        <w:spacing w:after="120"/>
      </w:pPr>
      <w:r w:rsidRPr="00810EC8">
        <w:t>Hexane – see CLEAPSS Hazcard HC045a. Hexane is highly FLAMMABLE liquid and vapour, a skin and respiratory IRRITANT, and TOXIC to the reproductive system. It is also a specific target organ toxin for the heart, CNS and respiratory system.</w:t>
      </w:r>
    </w:p>
    <w:p w14:paraId="758534B3" w14:textId="77777777" w:rsidR="00810EC8" w:rsidRPr="00810EC8" w:rsidRDefault="00810EC8" w:rsidP="00810EC8">
      <w:pPr>
        <w:numPr>
          <w:ilvl w:val="0"/>
          <w:numId w:val="15"/>
        </w:numPr>
        <w:spacing w:after="120"/>
      </w:pPr>
      <w:r w:rsidRPr="00810EC8">
        <w:t>Ensure the laboratory is well-ventilated.</w:t>
      </w:r>
    </w:p>
    <w:p w14:paraId="1243A0C1" w14:textId="77777777" w:rsidR="00810EC8" w:rsidRPr="00810EC8" w:rsidRDefault="00810EC8" w:rsidP="00810EC8">
      <w:pPr>
        <w:numPr>
          <w:ilvl w:val="0"/>
          <w:numId w:val="15"/>
        </w:numPr>
        <w:spacing w:after="120"/>
      </w:pPr>
      <w:r w:rsidRPr="00810EC8">
        <w:t>To dispose of the bromine solution, add 2 mol dm</w:t>
      </w:r>
      <w:r w:rsidRPr="00810EC8">
        <w:rPr>
          <w:vertAlign w:val="superscript"/>
        </w:rPr>
        <w:t>–1</w:t>
      </w:r>
      <w:r w:rsidRPr="00810EC8">
        <w:t> sodium carbonate solution (see CLEAPSS Hazcard HC095A and CLEAPSS Recipe Book RB080) until the colour is discharged – the solution can then be washed to waste with plenty of running water.</w:t>
      </w:r>
    </w:p>
    <w:p w14:paraId="345D709D" w14:textId="38C8A1B4" w:rsidR="002B5A51" w:rsidRPr="00D75591" w:rsidRDefault="002B5A51" w:rsidP="00810EC8">
      <w:pPr>
        <w:spacing w:after="120"/>
      </w:pPr>
    </w:p>
    <w:sectPr w:rsidR="002B5A51" w:rsidRPr="00D75591" w:rsidSect="00B1430E">
      <w:footerReference w:type="default" r:id="rId13"/>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A84C4" w14:textId="77777777" w:rsidR="00E43591" w:rsidRDefault="00E43591" w:rsidP="00883634">
      <w:pPr>
        <w:spacing w:line="240" w:lineRule="auto"/>
      </w:pPr>
      <w:r>
        <w:separator/>
      </w:r>
    </w:p>
  </w:endnote>
  <w:endnote w:type="continuationSeparator" w:id="0">
    <w:p w14:paraId="0733130E" w14:textId="77777777" w:rsidR="00E43591" w:rsidRDefault="00E43591"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CB23C" w14:textId="7287ED99"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6" name="Picture 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6F1D7B">
      <w:rPr>
        <w:sz w:val="16"/>
        <w:szCs w:val="16"/>
      </w:rPr>
      <w:t xml:space="preserve"> </w:t>
    </w:r>
    <w:hyperlink r:id="rId2" w:history="1">
      <w:r w:rsidR="00894335" w:rsidRPr="00AA0206">
        <w:rPr>
          <w:rStyle w:val="Hyperlink"/>
          <w:sz w:val="16"/>
          <w:szCs w:val="16"/>
        </w:rPr>
        <w:t>https://rsc.li/3uTtliD</w:t>
      </w:r>
    </w:hyperlink>
    <w:r w:rsidR="00894335">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068E8" w14:textId="77777777" w:rsidR="00E43591" w:rsidRDefault="00E43591" w:rsidP="00883634">
      <w:pPr>
        <w:spacing w:line="240" w:lineRule="auto"/>
      </w:pPr>
      <w:r>
        <w:separator/>
      </w:r>
    </w:p>
  </w:footnote>
  <w:footnote w:type="continuationSeparator" w:id="0">
    <w:p w14:paraId="14948C1F" w14:textId="77777777" w:rsidR="00E43591" w:rsidRDefault="00E43591"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1042B"/>
    <w:multiLevelType w:val="multilevel"/>
    <w:tmpl w:val="3530E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177D84"/>
    <w:multiLevelType w:val="multilevel"/>
    <w:tmpl w:val="1F1C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906DE"/>
    <w:multiLevelType w:val="hybridMultilevel"/>
    <w:tmpl w:val="429AA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D05490"/>
    <w:multiLevelType w:val="hybridMultilevel"/>
    <w:tmpl w:val="D03AB9C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 w15:restartNumberingAfterBreak="0">
    <w:nsid w:val="25597818"/>
    <w:multiLevelType w:val="multilevel"/>
    <w:tmpl w:val="144E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8324E"/>
    <w:multiLevelType w:val="multilevel"/>
    <w:tmpl w:val="248C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02317"/>
    <w:multiLevelType w:val="hybridMultilevel"/>
    <w:tmpl w:val="C5921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EC5B6A"/>
    <w:multiLevelType w:val="hybridMultilevel"/>
    <w:tmpl w:val="7AA69E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7777D3"/>
    <w:multiLevelType w:val="multilevel"/>
    <w:tmpl w:val="6D20D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130FB9"/>
    <w:multiLevelType w:val="multilevel"/>
    <w:tmpl w:val="D39A6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234FC0"/>
    <w:multiLevelType w:val="hybridMultilevel"/>
    <w:tmpl w:val="783ABF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A07BC5"/>
    <w:multiLevelType w:val="multilevel"/>
    <w:tmpl w:val="1766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D763A2"/>
    <w:multiLevelType w:val="hybridMultilevel"/>
    <w:tmpl w:val="2AF43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912523"/>
    <w:multiLevelType w:val="hybridMultilevel"/>
    <w:tmpl w:val="52BEA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981D53"/>
    <w:multiLevelType w:val="multilevel"/>
    <w:tmpl w:val="8406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0"/>
  </w:num>
  <w:num w:numId="4">
    <w:abstractNumId w:val="13"/>
  </w:num>
  <w:num w:numId="5">
    <w:abstractNumId w:val="8"/>
  </w:num>
  <w:num w:numId="6">
    <w:abstractNumId w:val="11"/>
  </w:num>
  <w:num w:numId="7">
    <w:abstractNumId w:val="1"/>
  </w:num>
  <w:num w:numId="8">
    <w:abstractNumId w:val="14"/>
  </w:num>
  <w:num w:numId="9">
    <w:abstractNumId w:val="5"/>
  </w:num>
  <w:num w:numId="10">
    <w:abstractNumId w:val="4"/>
  </w:num>
  <w:num w:numId="11">
    <w:abstractNumId w:val="9"/>
  </w:num>
  <w:num w:numId="12">
    <w:abstractNumId w:val="3"/>
  </w:num>
  <w:num w:numId="13">
    <w:abstractNumId w:val="7"/>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259B8"/>
    <w:rsid w:val="00045733"/>
    <w:rsid w:val="00060474"/>
    <w:rsid w:val="000A72B6"/>
    <w:rsid w:val="0010594E"/>
    <w:rsid w:val="00107A74"/>
    <w:rsid w:val="00121D41"/>
    <w:rsid w:val="0015353F"/>
    <w:rsid w:val="001546EA"/>
    <w:rsid w:val="001554E7"/>
    <w:rsid w:val="001637E5"/>
    <w:rsid w:val="00196E56"/>
    <w:rsid w:val="001A3268"/>
    <w:rsid w:val="0026084E"/>
    <w:rsid w:val="002B5A51"/>
    <w:rsid w:val="002E173F"/>
    <w:rsid w:val="00315C09"/>
    <w:rsid w:val="00357DE0"/>
    <w:rsid w:val="00384C00"/>
    <w:rsid w:val="003F3444"/>
    <w:rsid w:val="00402AB6"/>
    <w:rsid w:val="00452BAE"/>
    <w:rsid w:val="00487C6A"/>
    <w:rsid w:val="004B6E33"/>
    <w:rsid w:val="004F37DE"/>
    <w:rsid w:val="00530E52"/>
    <w:rsid w:val="00544742"/>
    <w:rsid w:val="005E2D53"/>
    <w:rsid w:val="005F10C0"/>
    <w:rsid w:val="0064596A"/>
    <w:rsid w:val="006851CA"/>
    <w:rsid w:val="006A7649"/>
    <w:rsid w:val="006B2D5F"/>
    <w:rsid w:val="006E35A2"/>
    <w:rsid w:val="006E6495"/>
    <w:rsid w:val="006F11C7"/>
    <w:rsid w:val="006F1D7B"/>
    <w:rsid w:val="007648CD"/>
    <w:rsid w:val="00795D31"/>
    <w:rsid w:val="007B29DA"/>
    <w:rsid w:val="00801C93"/>
    <w:rsid w:val="00810EC8"/>
    <w:rsid w:val="00860DCF"/>
    <w:rsid w:val="00883634"/>
    <w:rsid w:val="00894335"/>
    <w:rsid w:val="008D2638"/>
    <w:rsid w:val="00926A55"/>
    <w:rsid w:val="00942589"/>
    <w:rsid w:val="00944467"/>
    <w:rsid w:val="00947053"/>
    <w:rsid w:val="009A4E4D"/>
    <w:rsid w:val="009C28B0"/>
    <w:rsid w:val="009C6C7F"/>
    <w:rsid w:val="009F46DF"/>
    <w:rsid w:val="00AA2773"/>
    <w:rsid w:val="00AB51C3"/>
    <w:rsid w:val="00AD3FFE"/>
    <w:rsid w:val="00B1430E"/>
    <w:rsid w:val="00B2046D"/>
    <w:rsid w:val="00B52AAF"/>
    <w:rsid w:val="00B802D2"/>
    <w:rsid w:val="00BC5C4C"/>
    <w:rsid w:val="00BC7C98"/>
    <w:rsid w:val="00C0182D"/>
    <w:rsid w:val="00CF5E46"/>
    <w:rsid w:val="00D15C73"/>
    <w:rsid w:val="00D32040"/>
    <w:rsid w:val="00D75591"/>
    <w:rsid w:val="00DC4499"/>
    <w:rsid w:val="00E04D15"/>
    <w:rsid w:val="00E16B4D"/>
    <w:rsid w:val="00E43591"/>
    <w:rsid w:val="00E6281A"/>
    <w:rsid w:val="00E64520"/>
    <w:rsid w:val="00EA245E"/>
    <w:rsid w:val="00ED4EA3"/>
    <w:rsid w:val="00EE4ECC"/>
    <w:rsid w:val="00EE7B55"/>
    <w:rsid w:val="00F05F4A"/>
    <w:rsid w:val="00F36FC4"/>
    <w:rsid w:val="00F91FB2"/>
    <w:rsid w:val="00F93ED9"/>
    <w:rsid w:val="00FB1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26A55"/>
    <w:pPr>
      <w:ind w:left="720"/>
      <w:contextualSpacing/>
    </w:pPr>
  </w:style>
  <w:style w:type="character" w:styleId="UnresolvedMention">
    <w:name w:val="Unresolved Mention"/>
    <w:basedOn w:val="DefaultParagraphFont"/>
    <w:uiPriority w:val="99"/>
    <w:semiHidden/>
    <w:unhideWhenUsed/>
    <w:rsid w:val="00894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29294">
      <w:bodyDiv w:val="1"/>
      <w:marLeft w:val="0"/>
      <w:marRight w:val="0"/>
      <w:marTop w:val="0"/>
      <w:marBottom w:val="0"/>
      <w:divBdr>
        <w:top w:val="none" w:sz="0" w:space="0" w:color="auto"/>
        <w:left w:val="none" w:sz="0" w:space="0" w:color="auto"/>
        <w:bottom w:val="none" w:sz="0" w:space="0" w:color="auto"/>
        <w:right w:val="none" w:sz="0" w:space="0" w:color="auto"/>
      </w:divBdr>
    </w:div>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783161013">
      <w:bodyDiv w:val="1"/>
      <w:marLeft w:val="0"/>
      <w:marRight w:val="0"/>
      <w:marTop w:val="0"/>
      <w:marBottom w:val="0"/>
      <w:divBdr>
        <w:top w:val="none" w:sz="0" w:space="0" w:color="auto"/>
        <w:left w:val="none" w:sz="0" w:space="0" w:color="auto"/>
        <w:bottom w:val="none" w:sz="0" w:space="0" w:color="auto"/>
        <w:right w:val="none" w:sz="0" w:space="0" w:color="auto"/>
      </w:divBdr>
    </w:div>
    <w:div w:id="987396842">
      <w:bodyDiv w:val="1"/>
      <w:marLeft w:val="0"/>
      <w:marRight w:val="0"/>
      <w:marTop w:val="0"/>
      <w:marBottom w:val="0"/>
      <w:divBdr>
        <w:top w:val="none" w:sz="0" w:space="0" w:color="auto"/>
        <w:left w:val="none" w:sz="0" w:space="0" w:color="auto"/>
        <w:bottom w:val="none" w:sz="0" w:space="0" w:color="auto"/>
        <w:right w:val="none" w:sz="0" w:space="0" w:color="auto"/>
      </w:divBdr>
    </w:div>
    <w:div w:id="1060638518">
      <w:bodyDiv w:val="1"/>
      <w:marLeft w:val="0"/>
      <w:marRight w:val="0"/>
      <w:marTop w:val="0"/>
      <w:marBottom w:val="0"/>
      <w:divBdr>
        <w:top w:val="none" w:sz="0" w:space="0" w:color="auto"/>
        <w:left w:val="none" w:sz="0" w:space="0" w:color="auto"/>
        <w:bottom w:val="none" w:sz="0" w:space="0" w:color="auto"/>
        <w:right w:val="none" w:sz="0" w:space="0" w:color="auto"/>
      </w:divBdr>
    </w:div>
    <w:div w:id="1144011220">
      <w:bodyDiv w:val="1"/>
      <w:marLeft w:val="0"/>
      <w:marRight w:val="0"/>
      <w:marTop w:val="0"/>
      <w:marBottom w:val="0"/>
      <w:divBdr>
        <w:top w:val="none" w:sz="0" w:space="0" w:color="auto"/>
        <w:left w:val="none" w:sz="0" w:space="0" w:color="auto"/>
        <w:bottom w:val="none" w:sz="0" w:space="0" w:color="auto"/>
        <w:right w:val="none" w:sz="0" w:space="0" w:color="auto"/>
      </w:divBdr>
    </w:div>
    <w:div w:id="1497381797">
      <w:bodyDiv w:val="1"/>
      <w:marLeft w:val="0"/>
      <w:marRight w:val="0"/>
      <w:marTop w:val="0"/>
      <w:marBottom w:val="0"/>
      <w:divBdr>
        <w:top w:val="none" w:sz="0" w:space="0" w:color="auto"/>
        <w:left w:val="none" w:sz="0" w:space="0" w:color="auto"/>
        <w:bottom w:val="none" w:sz="0" w:space="0" w:color="auto"/>
        <w:right w:val="none" w:sz="0" w:space="0" w:color="auto"/>
      </w:divBdr>
    </w:div>
    <w:div w:id="1512990506">
      <w:bodyDiv w:val="1"/>
      <w:marLeft w:val="0"/>
      <w:marRight w:val="0"/>
      <w:marTop w:val="0"/>
      <w:marBottom w:val="0"/>
      <w:divBdr>
        <w:top w:val="none" w:sz="0" w:space="0" w:color="auto"/>
        <w:left w:val="none" w:sz="0" w:space="0" w:color="auto"/>
        <w:bottom w:val="none" w:sz="0" w:space="0" w:color="auto"/>
        <w:right w:val="none" w:sz="0" w:space="0" w:color="auto"/>
      </w:divBdr>
    </w:div>
    <w:div w:id="1659111544">
      <w:bodyDiv w:val="1"/>
      <w:marLeft w:val="0"/>
      <w:marRight w:val="0"/>
      <w:marTop w:val="0"/>
      <w:marBottom w:val="0"/>
      <w:divBdr>
        <w:top w:val="none" w:sz="0" w:space="0" w:color="auto"/>
        <w:left w:val="none" w:sz="0" w:space="0" w:color="auto"/>
        <w:bottom w:val="none" w:sz="0" w:space="0" w:color="auto"/>
        <w:right w:val="none" w:sz="0" w:space="0" w:color="auto"/>
      </w:divBdr>
    </w:div>
    <w:div w:id="1724718647">
      <w:bodyDiv w:val="1"/>
      <w:marLeft w:val="0"/>
      <w:marRight w:val="0"/>
      <w:marTop w:val="0"/>
      <w:marBottom w:val="0"/>
      <w:divBdr>
        <w:top w:val="none" w:sz="0" w:space="0" w:color="auto"/>
        <w:left w:val="none" w:sz="0" w:space="0" w:color="auto"/>
        <w:bottom w:val="none" w:sz="0" w:space="0" w:color="auto"/>
        <w:right w:val="none" w:sz="0" w:space="0" w:color="auto"/>
      </w:divBdr>
    </w:div>
    <w:div w:id="1731151726">
      <w:bodyDiv w:val="1"/>
      <w:marLeft w:val="0"/>
      <w:marRight w:val="0"/>
      <w:marTop w:val="0"/>
      <w:marBottom w:val="0"/>
      <w:divBdr>
        <w:top w:val="none" w:sz="0" w:space="0" w:color="auto"/>
        <w:left w:val="none" w:sz="0" w:space="0" w:color="auto"/>
        <w:bottom w:val="none" w:sz="0" w:space="0" w:color="auto"/>
        <w:right w:val="none" w:sz="0" w:space="0" w:color="auto"/>
      </w:divBdr>
    </w:div>
    <w:div w:id="1925648620">
      <w:bodyDiv w:val="1"/>
      <w:marLeft w:val="0"/>
      <w:marRight w:val="0"/>
      <w:marTop w:val="0"/>
      <w:marBottom w:val="0"/>
      <w:divBdr>
        <w:top w:val="none" w:sz="0" w:space="0" w:color="auto"/>
        <w:left w:val="none" w:sz="0" w:space="0" w:color="auto"/>
        <w:bottom w:val="none" w:sz="0" w:space="0" w:color="auto"/>
        <w:right w:val="none" w:sz="0" w:space="0" w:color="auto"/>
      </w:divBdr>
    </w:div>
    <w:div w:id="1965496646">
      <w:bodyDiv w:val="1"/>
      <w:marLeft w:val="0"/>
      <w:marRight w:val="0"/>
      <w:marTop w:val="0"/>
      <w:marBottom w:val="0"/>
      <w:divBdr>
        <w:top w:val="none" w:sz="0" w:space="0" w:color="auto"/>
        <w:left w:val="none" w:sz="0" w:space="0" w:color="auto"/>
        <w:bottom w:val="none" w:sz="0" w:space="0" w:color="auto"/>
        <w:right w:val="none" w:sz="0" w:space="0" w:color="auto"/>
      </w:divBdr>
    </w:div>
    <w:div w:id="1969163731">
      <w:bodyDiv w:val="1"/>
      <w:marLeft w:val="0"/>
      <w:marRight w:val="0"/>
      <w:marTop w:val="0"/>
      <w:marBottom w:val="0"/>
      <w:divBdr>
        <w:top w:val="none" w:sz="0" w:space="0" w:color="auto"/>
        <w:left w:val="none" w:sz="0" w:space="0" w:color="auto"/>
        <w:bottom w:val="none" w:sz="0" w:space="0" w:color="auto"/>
        <w:right w:val="none" w:sz="0" w:space="0" w:color="auto"/>
      </w:divBdr>
    </w:div>
    <w:div w:id="19782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uV7wz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xOnY6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rsc.li/3uTtliD"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D81B97-4FBA-4224-A9EA-31C66ADBD491}">
  <ds:schemaRefs>
    <ds:schemaRef ds:uri="http://schemas.openxmlformats.org/officeDocument/2006/bibliography"/>
  </ds:schemaRefs>
</ds:datastoreItem>
</file>

<file path=customXml/itemProps2.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4.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502</Words>
  <Characters>2826</Characters>
  <Application>Microsoft Office Word</Application>
  <DocSecurity>0</DocSecurity>
  <Lines>85</Lines>
  <Paragraphs>49</Paragraphs>
  <ScaleCrop>false</ScaleCrop>
  <HeadingPairs>
    <vt:vector size="2" baseType="variant">
      <vt:variant>
        <vt:lpstr>Title</vt:lpstr>
      </vt:variant>
      <vt:variant>
        <vt:i4>1</vt:i4>
      </vt:variant>
    </vt:vector>
  </HeadingPairs>
  <TitlesOfParts>
    <vt:vector size="1" baseType="lpstr">
      <vt:lpstr>Guide to preparing solutions for microscale chemistry</vt:lpstr>
    </vt:vector>
  </TitlesOfParts>
  <Company>Royal Society Of Chemistry</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for unsaturation with bromine - teacher notes</dc:title>
  <dc:subject>Use these teacher notes to help students prepare a bromine solution and use it to test for unsaturation in organic compounds.</dc:subject>
  <dc:creator>Royal Society of Chemistry</dc:creator>
  <cp:keywords/>
  <dc:description/>
  <cp:lastModifiedBy>Chris Runciman</cp:lastModifiedBy>
  <cp:revision>18</cp:revision>
  <dcterms:created xsi:type="dcterms:W3CDTF">2021-05-04T11:08:00Z</dcterms:created>
  <dcterms:modified xsi:type="dcterms:W3CDTF">2021-05-17T15:03:00Z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