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1A37" w14:textId="51D1D0D8" w:rsidR="009C6C7F" w:rsidRDefault="00A219F0" w:rsidP="006E6495">
      <w:pPr>
        <w:pStyle w:val="Heading1"/>
      </w:pPr>
      <w:r>
        <w:t xml:space="preserve">Analysis of aspirin on a microscale – </w:t>
      </w:r>
      <w:r w:rsidR="00C93751">
        <w:t>teacher notes</w:t>
      </w:r>
    </w:p>
    <w:p w14:paraId="6BD8EAEC" w14:textId="3C389F31" w:rsidR="00EE7B55" w:rsidRDefault="00EE7B55" w:rsidP="006E6495"/>
    <w:p w14:paraId="2AF4FABC" w14:textId="77777777" w:rsidR="00DC27F9" w:rsidRDefault="00C93751" w:rsidP="00C93751">
      <w:r w:rsidRPr="00C93751">
        <w:t>In this experiment students measure the amount of free 2-hydroxybenzoic acid (salicylic acid) in 2-ethanoyloxybenzenecarboxylic acid (aspirin) tablets.</w:t>
      </w:r>
    </w:p>
    <w:p w14:paraId="292FB1C6" w14:textId="77777777" w:rsidR="00DC27F9" w:rsidRDefault="00DC27F9" w:rsidP="00C93751"/>
    <w:p w14:paraId="60D08B66" w14:textId="371EFB22" w:rsidR="00DC27F9" w:rsidRDefault="00C93751" w:rsidP="00C93751">
      <w:r w:rsidRPr="00C93751">
        <w:t>2-hydroxybenzoic acid (salicylic acid), being a substituted phenol, reacts with Fe</w:t>
      </w:r>
      <w:r w:rsidRPr="00C93751">
        <w:rPr>
          <w:vertAlign w:val="superscript"/>
        </w:rPr>
        <w:t>3+</w:t>
      </w:r>
      <w:r w:rsidRPr="00C93751">
        <w:t xml:space="preserve"> ions to produce a purple colour.</w:t>
      </w:r>
      <w:r w:rsidR="00DC27F9">
        <w:t xml:space="preserve"> </w:t>
      </w:r>
      <w:r w:rsidRPr="00C93751">
        <w:t>The colour is matched against that produced by a set of standard solutions of 2- hydroxybenzoic acid (salicylic acid) in a well-plate.</w:t>
      </w:r>
    </w:p>
    <w:p w14:paraId="50DB1F58" w14:textId="12F5717A" w:rsidR="00DC27F9" w:rsidRDefault="00DC27F9" w:rsidP="00DC27F9">
      <w:pPr>
        <w:pStyle w:val="Heading2"/>
      </w:pPr>
      <w:r>
        <w:t>Topic</w:t>
      </w:r>
    </w:p>
    <w:p w14:paraId="6D0F057F" w14:textId="7452D178" w:rsidR="00DC27F9" w:rsidRDefault="00DC27F9" w:rsidP="00DC27F9"/>
    <w:p w14:paraId="283ADE02" w14:textId="51397979" w:rsidR="00DC27F9" w:rsidRDefault="00DC27F9" w:rsidP="00DC27F9">
      <w:r>
        <w:t>Organic chemistry, chemical analysis</w:t>
      </w:r>
    </w:p>
    <w:p w14:paraId="3B4F4BAC" w14:textId="35002560" w:rsidR="00DC27F9" w:rsidRDefault="00DC27F9" w:rsidP="00DC27F9">
      <w:pPr>
        <w:pStyle w:val="Heading2"/>
      </w:pPr>
      <w:r>
        <w:t>Timing</w:t>
      </w:r>
    </w:p>
    <w:p w14:paraId="61A6AE63" w14:textId="527CF5FD" w:rsidR="00DC27F9" w:rsidRDefault="00DC27F9" w:rsidP="00DC27F9"/>
    <w:p w14:paraId="1EF5C593" w14:textId="2556A177" w:rsidR="00DC27F9" w:rsidRDefault="00DC27F9" w:rsidP="00DC27F9">
      <w:r>
        <w:t>20 minutes</w:t>
      </w:r>
    </w:p>
    <w:p w14:paraId="077D094E" w14:textId="03D46448" w:rsidR="00DC27F9" w:rsidRDefault="00DC27F9" w:rsidP="00DC27F9">
      <w:pPr>
        <w:pStyle w:val="Heading2"/>
      </w:pPr>
      <w:r>
        <w:t>Equipment</w:t>
      </w:r>
    </w:p>
    <w:p w14:paraId="0617C4E6" w14:textId="58E95B82" w:rsidR="00DC27F9" w:rsidRDefault="00DC27F9" w:rsidP="00DC27F9"/>
    <w:p w14:paraId="0B686DA9" w14:textId="4C34F998" w:rsidR="00DC27F9" w:rsidRDefault="00DC27F9" w:rsidP="00DC27F9">
      <w:pPr>
        <w:pStyle w:val="Heading3"/>
      </w:pPr>
      <w:r>
        <w:t>Apparatus</w:t>
      </w:r>
    </w:p>
    <w:p w14:paraId="2758256B" w14:textId="7BA0549B" w:rsidR="00DC27F9" w:rsidRDefault="00DC27F9" w:rsidP="00DC27F9"/>
    <w:p w14:paraId="606454C5" w14:textId="14A4D077" w:rsidR="00C7731E" w:rsidRDefault="00C7731E" w:rsidP="00237FBD">
      <w:pPr>
        <w:numPr>
          <w:ilvl w:val="0"/>
          <w:numId w:val="11"/>
        </w:numPr>
        <w:spacing w:after="120"/>
        <w:ind w:left="714" w:hanging="357"/>
      </w:pPr>
      <w:r>
        <w:t>Eye protection</w:t>
      </w:r>
    </w:p>
    <w:p w14:paraId="33D1A215" w14:textId="574A81D9" w:rsidR="00237FBD" w:rsidRPr="00237FBD" w:rsidRDefault="00237FBD" w:rsidP="00237FBD">
      <w:pPr>
        <w:numPr>
          <w:ilvl w:val="0"/>
          <w:numId w:val="11"/>
        </w:numPr>
        <w:spacing w:after="120"/>
        <w:ind w:left="714" w:hanging="357"/>
      </w:pPr>
      <w:r w:rsidRPr="00237FBD">
        <w:t>24-well plate</w:t>
      </w:r>
    </w:p>
    <w:p w14:paraId="0C43CF22" w14:textId="77777777" w:rsidR="00237FBD" w:rsidRPr="00237FBD" w:rsidRDefault="00237FBD" w:rsidP="00237FBD">
      <w:pPr>
        <w:numPr>
          <w:ilvl w:val="0"/>
          <w:numId w:val="11"/>
        </w:numPr>
        <w:spacing w:after="120"/>
        <w:ind w:left="714" w:hanging="357"/>
      </w:pPr>
      <w:r w:rsidRPr="00237FBD">
        <w:t>Beaker, 100 cm</w:t>
      </w:r>
      <w:r w:rsidRPr="00237FBD">
        <w:rPr>
          <w:vertAlign w:val="superscript"/>
        </w:rPr>
        <w:t>3</w:t>
      </w:r>
    </w:p>
    <w:p w14:paraId="206DF41D" w14:textId="77777777" w:rsidR="00237FBD" w:rsidRPr="00237FBD" w:rsidRDefault="00237FBD" w:rsidP="00237FBD">
      <w:pPr>
        <w:numPr>
          <w:ilvl w:val="0"/>
          <w:numId w:val="11"/>
        </w:numPr>
        <w:spacing w:after="120"/>
        <w:ind w:left="714" w:hanging="357"/>
      </w:pPr>
      <w:r w:rsidRPr="00237FBD">
        <w:t>Cotton wool</w:t>
      </w:r>
    </w:p>
    <w:p w14:paraId="353ACF2F" w14:textId="77777777" w:rsidR="00237FBD" w:rsidRPr="00237FBD" w:rsidRDefault="00237FBD" w:rsidP="00237FBD">
      <w:pPr>
        <w:numPr>
          <w:ilvl w:val="0"/>
          <w:numId w:val="11"/>
        </w:numPr>
        <w:spacing w:after="120"/>
        <w:ind w:left="714" w:hanging="357"/>
      </w:pPr>
      <w:r w:rsidRPr="00237FBD">
        <w:t>Plastic pipette (standard form, eg Aldrich ref: Z13, 500-3)</w:t>
      </w:r>
    </w:p>
    <w:p w14:paraId="2C2AFEF7" w14:textId="77777777" w:rsidR="00237FBD" w:rsidRPr="00237FBD" w:rsidRDefault="00237FBD" w:rsidP="00237FBD">
      <w:pPr>
        <w:numPr>
          <w:ilvl w:val="0"/>
          <w:numId w:val="11"/>
        </w:numPr>
        <w:spacing w:after="120"/>
        <w:ind w:left="714" w:hanging="357"/>
      </w:pPr>
      <w:r w:rsidRPr="00237FBD">
        <w:t>Plastic pipettes (fine tip, eg Aldrich ref: Z13, 503-8), x2</w:t>
      </w:r>
    </w:p>
    <w:p w14:paraId="088408C0" w14:textId="77777777" w:rsidR="00237FBD" w:rsidRPr="00237FBD" w:rsidRDefault="00237FBD" w:rsidP="00237FBD">
      <w:pPr>
        <w:numPr>
          <w:ilvl w:val="0"/>
          <w:numId w:val="11"/>
        </w:numPr>
      </w:pPr>
      <w:r w:rsidRPr="00237FBD">
        <w:t>Sheet for microscale filtration technique (see note 4 below)</w:t>
      </w:r>
    </w:p>
    <w:p w14:paraId="50DABD3D" w14:textId="6977F07F" w:rsidR="00DC27F9" w:rsidRDefault="00DC27F9" w:rsidP="00DC27F9"/>
    <w:p w14:paraId="395232CC" w14:textId="3B3D7718" w:rsidR="00237FBD" w:rsidRDefault="00237FBD" w:rsidP="00237FBD">
      <w:pPr>
        <w:pStyle w:val="Heading3"/>
      </w:pPr>
      <w:r>
        <w:t>Chemicals</w:t>
      </w:r>
    </w:p>
    <w:p w14:paraId="400E9834" w14:textId="0AF1DD7C" w:rsidR="00237FBD" w:rsidRDefault="00237FBD" w:rsidP="00237FBD"/>
    <w:p w14:paraId="7BCA824F" w14:textId="2EB55B7A" w:rsidR="00237FBD" w:rsidRDefault="00237FBD" w:rsidP="00237FBD">
      <w:r w:rsidRPr="00237FBD">
        <w:t>Solutions should be contained in plastic pipettes</w:t>
      </w:r>
      <w:r>
        <w:t xml:space="preserve"> (fine tip)</w:t>
      </w:r>
      <w:r w:rsidRPr="00237FBD">
        <w:t xml:space="preserve"> – see the accompanying guidance on apparatus and techniques for microscale chemistry (</w:t>
      </w:r>
      <w:hyperlink r:id="rId11" w:history="1">
        <w:r w:rsidR="003D76E5" w:rsidRPr="00117D11">
          <w:rPr>
            <w:rStyle w:val="Hyperlink"/>
          </w:rPr>
          <w:t>https://rsc.li/2PRZ8Bu</w:t>
        </w:r>
      </w:hyperlink>
      <w:r w:rsidRPr="00237FBD">
        <w:t>).</w:t>
      </w:r>
    </w:p>
    <w:p w14:paraId="7E8330C8" w14:textId="09F36437" w:rsidR="003D76E5" w:rsidRDefault="003D76E5" w:rsidP="00237FBD"/>
    <w:p w14:paraId="58EF0930" w14:textId="77777777" w:rsidR="003D76E5" w:rsidRPr="003D76E5" w:rsidRDefault="003D76E5" w:rsidP="003D76E5">
      <w:pPr>
        <w:numPr>
          <w:ilvl w:val="0"/>
          <w:numId w:val="12"/>
        </w:numPr>
        <w:spacing w:after="120"/>
        <w:ind w:left="714" w:hanging="357"/>
      </w:pPr>
      <w:r w:rsidRPr="003D76E5">
        <w:t>Various 2-ethanoyloxybenzenecarboxylic acid (aspirin) tablets</w:t>
      </w:r>
    </w:p>
    <w:p w14:paraId="6540687A" w14:textId="77777777" w:rsidR="003D76E5" w:rsidRPr="003D76E5" w:rsidRDefault="003D76E5" w:rsidP="003D76E5">
      <w:pPr>
        <w:numPr>
          <w:ilvl w:val="0"/>
          <w:numId w:val="12"/>
        </w:numPr>
        <w:spacing w:after="120"/>
        <w:ind w:left="714" w:hanging="357"/>
      </w:pPr>
      <w:r w:rsidRPr="003D76E5">
        <w:t>Iron(III) nitrate solution, 0.1 mol dm</w:t>
      </w:r>
      <w:r w:rsidRPr="003D76E5">
        <w:rPr>
          <w:vertAlign w:val="superscript"/>
        </w:rPr>
        <w:t>–3</w:t>
      </w:r>
    </w:p>
    <w:p w14:paraId="72F4FBB1" w14:textId="77777777" w:rsidR="003D76E5" w:rsidRPr="003D76E5" w:rsidRDefault="003D76E5" w:rsidP="003D76E5">
      <w:pPr>
        <w:numPr>
          <w:ilvl w:val="0"/>
          <w:numId w:val="12"/>
        </w:numPr>
        <w:spacing w:after="120"/>
        <w:ind w:left="714" w:hanging="357"/>
      </w:pPr>
      <w:r w:rsidRPr="003D76E5">
        <w:t>2-hydroxybenzoic acid (salicylic acid) (working) solution</w:t>
      </w:r>
    </w:p>
    <w:p w14:paraId="595859B0" w14:textId="028333B4" w:rsidR="003D76E5" w:rsidRDefault="003D76E5" w:rsidP="00237FBD">
      <w:pPr>
        <w:numPr>
          <w:ilvl w:val="0"/>
          <w:numId w:val="12"/>
        </w:numPr>
      </w:pPr>
      <w:r w:rsidRPr="003D76E5">
        <w:t>Deionised water</w:t>
      </w:r>
    </w:p>
    <w:p w14:paraId="1008E50F" w14:textId="6ADFB3AF" w:rsidR="00006579" w:rsidRDefault="00006579" w:rsidP="00006579">
      <w:pPr>
        <w:pStyle w:val="Heading2"/>
      </w:pPr>
      <w:r>
        <w:t>Health, safety and technical notes</w:t>
      </w:r>
    </w:p>
    <w:p w14:paraId="22FD1EE9" w14:textId="63979E7E" w:rsidR="00006579" w:rsidRDefault="00006579" w:rsidP="00006579"/>
    <w:p w14:paraId="60F23546" w14:textId="5E186B6C" w:rsidR="00006579" w:rsidRPr="00006579" w:rsidRDefault="00006579" w:rsidP="000B3796">
      <w:pPr>
        <w:numPr>
          <w:ilvl w:val="0"/>
          <w:numId w:val="13"/>
        </w:numPr>
        <w:spacing w:after="120"/>
        <w:ind w:left="714" w:hanging="357"/>
      </w:pPr>
      <w:r w:rsidRPr="00006579">
        <w:t>Read our standard health and safety guidance</w:t>
      </w:r>
      <w:r w:rsidR="000B3796">
        <w:t xml:space="preserve"> (</w:t>
      </w:r>
      <w:hyperlink r:id="rId12" w:history="1">
        <w:r w:rsidR="000B3796" w:rsidRPr="00117D11">
          <w:rPr>
            <w:rStyle w:val="Hyperlink"/>
          </w:rPr>
          <w:t>https://rsc.li/3uqIGaz</w:t>
        </w:r>
      </w:hyperlink>
      <w:r w:rsidR="000B3796">
        <w:t>).</w:t>
      </w:r>
    </w:p>
    <w:p w14:paraId="46F2B87D" w14:textId="77777777" w:rsidR="00006579" w:rsidRPr="00006579" w:rsidRDefault="00006579" w:rsidP="000B3796">
      <w:pPr>
        <w:numPr>
          <w:ilvl w:val="0"/>
          <w:numId w:val="13"/>
        </w:numPr>
        <w:spacing w:after="120"/>
        <w:ind w:left="714" w:hanging="357"/>
      </w:pPr>
      <w:r w:rsidRPr="00006579">
        <w:t>Wear eye protection throughout.</w:t>
      </w:r>
    </w:p>
    <w:p w14:paraId="689C6920" w14:textId="77777777" w:rsidR="00006579" w:rsidRPr="00006579" w:rsidRDefault="00006579" w:rsidP="000B3796">
      <w:pPr>
        <w:numPr>
          <w:ilvl w:val="0"/>
          <w:numId w:val="13"/>
        </w:numPr>
        <w:spacing w:after="120"/>
        <w:ind w:left="714" w:hanging="357"/>
      </w:pPr>
      <w:r w:rsidRPr="00006579">
        <w:t>Advise students not to ingest the aspirin tablets.</w:t>
      </w:r>
    </w:p>
    <w:p w14:paraId="7872E605" w14:textId="77777777" w:rsidR="00410B25" w:rsidRDefault="00006579" w:rsidP="00410B25">
      <w:pPr>
        <w:numPr>
          <w:ilvl w:val="0"/>
          <w:numId w:val="13"/>
        </w:numPr>
        <w:spacing w:after="120"/>
        <w:ind w:left="714" w:hanging="357"/>
      </w:pPr>
      <w:r w:rsidRPr="00006579">
        <w:t>See our guidance on apparatus and techniques for microscale chemistry</w:t>
      </w:r>
      <w:r>
        <w:t xml:space="preserve"> (</w:t>
      </w:r>
      <w:hyperlink r:id="rId13" w:history="1">
        <w:r w:rsidRPr="00117D11">
          <w:rPr>
            <w:rStyle w:val="Hyperlink"/>
          </w:rPr>
          <w:t>https://rsc.li/2PRZ8Bu</w:t>
        </w:r>
      </w:hyperlink>
      <w:r>
        <w:t>)</w:t>
      </w:r>
      <w:r w:rsidRPr="00006579">
        <w:t> for microscale filtration instructions.</w:t>
      </w:r>
    </w:p>
    <w:p w14:paraId="42AEF035" w14:textId="77777777" w:rsidR="00410B25" w:rsidRDefault="00410B25" w:rsidP="00410B25">
      <w:pPr>
        <w:numPr>
          <w:ilvl w:val="0"/>
          <w:numId w:val="13"/>
        </w:numPr>
        <w:spacing w:after="120"/>
        <w:ind w:left="714" w:hanging="357"/>
      </w:pPr>
      <w:r w:rsidRPr="00410B25">
        <w:lastRenderedPageBreak/>
        <w:t>Iron(III) nitrate, Fe(NO</w:t>
      </w:r>
      <w:r w:rsidRPr="00410B25">
        <w:rPr>
          <w:vertAlign w:val="subscript"/>
        </w:rPr>
        <w:t>3</w:t>
      </w:r>
      <w:r w:rsidRPr="00410B25">
        <w:t>)</w:t>
      </w:r>
      <w:r w:rsidRPr="00410B25">
        <w:rPr>
          <w:vertAlign w:val="subscript"/>
        </w:rPr>
        <w:t>3</w:t>
      </w:r>
      <w:r w:rsidRPr="00410B25">
        <w:t>.9H</w:t>
      </w:r>
      <w:r w:rsidRPr="00410B25">
        <w:rPr>
          <w:vertAlign w:val="subscript"/>
        </w:rPr>
        <w:t>2</w:t>
      </w:r>
      <w:r w:rsidRPr="00410B25">
        <w:t>O(aq), 0.1 mol dm</w:t>
      </w:r>
      <w:r w:rsidRPr="00410B25">
        <w:rPr>
          <w:vertAlign w:val="superscript"/>
        </w:rPr>
        <w:t>–3</w:t>
      </w:r>
      <w:r w:rsidRPr="00410B25">
        <w:t> is of low hazard. See CLEAPSS Hazcard HC055C and CLEAPSS Recipe Book RB052</w:t>
      </w:r>
      <w:r>
        <w:t>.</w:t>
      </w:r>
    </w:p>
    <w:p w14:paraId="3E51ACD3" w14:textId="77777777" w:rsidR="00410B25" w:rsidRDefault="00410B25" w:rsidP="00410B25">
      <w:pPr>
        <w:numPr>
          <w:ilvl w:val="0"/>
          <w:numId w:val="13"/>
        </w:numPr>
        <w:spacing w:after="120"/>
        <w:ind w:left="714" w:hanging="357"/>
      </w:pPr>
      <w:r w:rsidRPr="00410B25">
        <w:t>2-hydroxybenzoic acid (salicylic acid) solution (0.1% w/v) is of low hazard. See CLEAPSS Hazcard HC052.</w:t>
      </w:r>
    </w:p>
    <w:p w14:paraId="2157505A" w14:textId="70350D71" w:rsidR="00410B25" w:rsidRPr="00410B25" w:rsidRDefault="00410B25" w:rsidP="00410B25">
      <w:pPr>
        <w:numPr>
          <w:ilvl w:val="0"/>
          <w:numId w:val="13"/>
        </w:numPr>
        <w:spacing w:after="120"/>
        <w:ind w:left="714" w:hanging="357"/>
      </w:pPr>
      <w:r w:rsidRPr="00410B25">
        <w:t>Ethanol/water mixture (1:1) is FLAMMABLE. See CLEAPSS Hazcard HC040A and CLEAPSS Recipe Book RB002.</w:t>
      </w:r>
    </w:p>
    <w:p w14:paraId="40C88A4C" w14:textId="77777777" w:rsidR="00410B25" w:rsidRDefault="00410B25" w:rsidP="00410B25">
      <w:pPr>
        <w:spacing w:after="120"/>
      </w:pPr>
    </w:p>
    <w:p w14:paraId="6CF325D6" w14:textId="39C4D4F8" w:rsidR="001B305C" w:rsidRDefault="001B305C" w:rsidP="001B305C">
      <w:pPr>
        <w:pStyle w:val="Heading3"/>
      </w:pPr>
      <w:r w:rsidRPr="001B305C">
        <w:t>Preparing a stock salicylic acid solution (0.1% w/v)</w:t>
      </w:r>
    </w:p>
    <w:p w14:paraId="4F2AEE75" w14:textId="77777777" w:rsidR="001B305C" w:rsidRPr="001B305C" w:rsidRDefault="001B305C" w:rsidP="001B305C"/>
    <w:p w14:paraId="46FF6CC4" w14:textId="5CD99653" w:rsidR="001B305C" w:rsidRDefault="001B305C" w:rsidP="001B305C">
      <w:r w:rsidRPr="001B305C">
        <w:t>Dissolve 0.100 g of 2-hydroxybenzoic acid (salicylic acid) in approximately 20 cm</w:t>
      </w:r>
      <w:r w:rsidRPr="001B305C">
        <w:rPr>
          <w:vertAlign w:val="superscript"/>
        </w:rPr>
        <w:t>3</w:t>
      </w:r>
      <w:r w:rsidRPr="001B305C">
        <w:t> of a 1:1 mixture of ethanol and deionised water in a 100 cm</w:t>
      </w:r>
      <w:r w:rsidRPr="001B305C">
        <w:rPr>
          <w:vertAlign w:val="superscript"/>
        </w:rPr>
        <w:t>3</w:t>
      </w:r>
      <w:r w:rsidRPr="001B305C">
        <w:t> beaker. Make up to 100 cm</w:t>
      </w:r>
      <w:r w:rsidRPr="001B305C">
        <w:rPr>
          <w:vertAlign w:val="superscript"/>
        </w:rPr>
        <w:t>3</w:t>
      </w:r>
      <w:r w:rsidRPr="001B305C">
        <w:t> in a volumetric flask.</w:t>
      </w:r>
    </w:p>
    <w:p w14:paraId="2268E85D" w14:textId="77777777" w:rsidR="001B305C" w:rsidRPr="001B305C" w:rsidRDefault="001B305C" w:rsidP="001B305C"/>
    <w:p w14:paraId="4FFC75F1" w14:textId="3D0AD978" w:rsidR="001B305C" w:rsidRDefault="001B305C" w:rsidP="001B305C">
      <w:pPr>
        <w:pStyle w:val="Heading3"/>
      </w:pPr>
      <w:r w:rsidRPr="001B305C">
        <w:t>Preparing a working salicylic acid solution</w:t>
      </w:r>
    </w:p>
    <w:p w14:paraId="644597B3" w14:textId="77777777" w:rsidR="001B305C" w:rsidRPr="001B305C" w:rsidRDefault="001B305C" w:rsidP="001B305C"/>
    <w:p w14:paraId="17BB9A2A" w14:textId="2DA6F514" w:rsidR="001B305C" w:rsidRDefault="001B305C" w:rsidP="00006579">
      <w:r w:rsidRPr="001B305C">
        <w:t>To produce a working solution (0.0025 g 2-hydroxybenzoic acid (salicylic acid) / 25 cm</w:t>
      </w:r>
      <w:r w:rsidRPr="001B305C">
        <w:rPr>
          <w:vertAlign w:val="superscript"/>
        </w:rPr>
        <w:t>3</w:t>
      </w:r>
      <w:r w:rsidRPr="001B305C">
        <w:t>), dilute 2.5 cm</w:t>
      </w:r>
      <w:r w:rsidRPr="001B305C">
        <w:rPr>
          <w:vertAlign w:val="superscript"/>
        </w:rPr>
        <w:t>3</w:t>
      </w:r>
      <w:r w:rsidRPr="001B305C">
        <w:t> of the stock solution to 25 cm</w:t>
      </w:r>
      <w:r w:rsidRPr="001B305C">
        <w:rPr>
          <w:vertAlign w:val="superscript"/>
        </w:rPr>
        <w:t>3</w:t>
      </w:r>
      <w:r w:rsidRPr="001B305C">
        <w:t> in a volumetric flask with a 1:1 ethanol–water mixture.</w:t>
      </w:r>
    </w:p>
    <w:p w14:paraId="5E823678" w14:textId="242EDF96" w:rsidR="001B305C" w:rsidRDefault="00705A75" w:rsidP="00B360BF">
      <w:pPr>
        <w:pStyle w:val="Heading2"/>
      </w:pPr>
      <w:r>
        <w:t>Teaching n</w:t>
      </w:r>
      <w:r w:rsidR="00B360BF">
        <w:t>otes and expected observations</w:t>
      </w:r>
    </w:p>
    <w:p w14:paraId="055918DD" w14:textId="461B9467" w:rsidR="00B360BF" w:rsidRDefault="00B360BF" w:rsidP="00B360BF"/>
    <w:p w14:paraId="1731B54C" w14:textId="49D2C553" w:rsidR="00B360BF" w:rsidRDefault="00B360BF" w:rsidP="00B360BF">
      <w:r w:rsidRPr="00B360BF">
        <w:t>The set of standard solutions should give a range of intensities of a bluish colour. Students should be careful to add the correct number of drops as indicated. The experiment works best with old tablets containing some free 2-hydroxybenzoic acid (salicylic acid). New tablets with minimal free acid do not give any blue coloration but merely the colour of iron(III) in solution (yellow) so they do not fit into the range of standards.</w:t>
      </w:r>
    </w:p>
    <w:p w14:paraId="35E8CDCE" w14:textId="77777777" w:rsidR="00B360BF" w:rsidRPr="00B360BF" w:rsidRDefault="00B360BF" w:rsidP="00B360BF"/>
    <w:p w14:paraId="748C6A31" w14:textId="71B2CEDF" w:rsidR="00B360BF" w:rsidRDefault="00B360BF" w:rsidP="00B360BF">
      <w:r w:rsidRPr="00B360BF">
        <w:t>The equation by which 2-hydroxybenzoic acid (salicylic acid) is formed is:</w:t>
      </w:r>
    </w:p>
    <w:p w14:paraId="73B7391E" w14:textId="57173AB1" w:rsidR="00B360BF" w:rsidRDefault="00B360BF" w:rsidP="00B360BF"/>
    <w:p w14:paraId="31338FD0" w14:textId="64458BD7" w:rsidR="00B360BF" w:rsidRDefault="00B360BF" w:rsidP="00B360BF">
      <w:r>
        <w:rPr>
          <w:noProof/>
        </w:rPr>
        <w:drawing>
          <wp:inline distT="0" distB="0" distL="0" distR="0" wp14:anchorId="5B12A699" wp14:editId="35A6E3A6">
            <wp:extent cx="5731510" cy="210566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105660"/>
                    </a:xfrm>
                    <a:prstGeom prst="rect">
                      <a:avLst/>
                    </a:prstGeom>
                  </pic:spPr>
                </pic:pic>
              </a:graphicData>
            </a:graphic>
          </wp:inline>
        </w:drawing>
      </w:r>
    </w:p>
    <w:p w14:paraId="2B18FD26" w14:textId="540269F4" w:rsidR="00B360BF" w:rsidRDefault="00B360BF" w:rsidP="00B360BF">
      <w:r w:rsidRPr="00B360BF">
        <w:t>This experiment gives students an opportunity to consider the practical effect of equilibrium. Old 2-ethanoyloxybenzenecarboxylic acid (aspirin) tablets, which may have become damp with time, will contain more free 2-hydroxybenzoic acid (salicylic acid) because the presence of water causes the position of equilibrium to be shifted to the right in the above equation.</w:t>
      </w:r>
    </w:p>
    <w:p w14:paraId="7BA79C5D" w14:textId="77777777" w:rsidR="00C7731E" w:rsidRDefault="00C7731E" w:rsidP="00B360BF"/>
    <w:p w14:paraId="3C6C7B61" w14:textId="6637C39E" w:rsidR="00B360BF" w:rsidRDefault="00B360BF" w:rsidP="00C7731E">
      <w:pPr>
        <w:pStyle w:val="Heading3"/>
      </w:pPr>
      <w:r>
        <w:t>Reference</w:t>
      </w:r>
    </w:p>
    <w:p w14:paraId="4FCD70AA" w14:textId="0FF8F5C0" w:rsidR="00B360BF" w:rsidRPr="00B360BF" w:rsidRDefault="00705A75" w:rsidP="00B360BF">
      <w:r w:rsidRPr="00705A75">
        <w:t xml:space="preserve">This experiment is based on a similar procedure given in the publication G. Rayner- Canham and A. Slater, </w:t>
      </w:r>
      <w:r w:rsidRPr="00705A75">
        <w:rPr>
          <w:i/>
          <w:iCs/>
        </w:rPr>
        <w:t>Microscale chemistry – laboratory manual</w:t>
      </w:r>
      <w:r w:rsidRPr="00705A75">
        <w:t>. Don Mills, Ontario: Addison-Wesley, 1994.</w:t>
      </w:r>
    </w:p>
    <w:sectPr w:rsidR="00B360BF" w:rsidRPr="00B360BF" w:rsidSect="00C7731E">
      <w:footerReference w:type="default" r:id="rId1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D5F92" w14:textId="77777777" w:rsidR="0020549B" w:rsidRDefault="0020549B" w:rsidP="00883634">
      <w:pPr>
        <w:spacing w:line="240" w:lineRule="auto"/>
      </w:pPr>
      <w:r>
        <w:separator/>
      </w:r>
    </w:p>
  </w:endnote>
  <w:endnote w:type="continuationSeparator" w:id="0">
    <w:p w14:paraId="53C0B277" w14:textId="77777777" w:rsidR="0020549B" w:rsidRDefault="0020549B"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B23C" w14:textId="5C0927C9"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6" name="Picture 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3E4C1D" w:rsidRPr="00117D11">
        <w:rPr>
          <w:rStyle w:val="Hyperlink"/>
          <w:sz w:val="16"/>
          <w:szCs w:val="16"/>
        </w:rPr>
        <w:t>https://rsc.li/3elP3pS</w:t>
      </w:r>
    </w:hyperlink>
    <w:r w:rsidR="003E4C1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E546B" w14:textId="77777777" w:rsidR="0020549B" w:rsidRDefault="0020549B" w:rsidP="00883634">
      <w:pPr>
        <w:spacing w:line="240" w:lineRule="auto"/>
      </w:pPr>
      <w:r>
        <w:separator/>
      </w:r>
    </w:p>
  </w:footnote>
  <w:footnote w:type="continuationSeparator" w:id="0">
    <w:p w14:paraId="761BEFEE" w14:textId="77777777" w:rsidR="0020549B" w:rsidRDefault="0020549B"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100E0"/>
    <w:multiLevelType w:val="multilevel"/>
    <w:tmpl w:val="8556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45EAF"/>
    <w:multiLevelType w:val="multilevel"/>
    <w:tmpl w:val="4B240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73210"/>
    <w:multiLevelType w:val="multilevel"/>
    <w:tmpl w:val="7B7E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60FAF"/>
    <w:multiLevelType w:val="multilevel"/>
    <w:tmpl w:val="DB70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B418B2"/>
    <w:multiLevelType w:val="multilevel"/>
    <w:tmpl w:val="348AD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C245EF"/>
    <w:multiLevelType w:val="multilevel"/>
    <w:tmpl w:val="62A0E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7C2F3D"/>
    <w:multiLevelType w:val="multilevel"/>
    <w:tmpl w:val="EB0A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6"/>
  </w:num>
  <w:num w:numId="4">
    <w:abstractNumId w:val="9"/>
  </w:num>
  <w:num w:numId="5">
    <w:abstractNumId w:val="13"/>
  </w:num>
  <w:num w:numId="6">
    <w:abstractNumId w:val="4"/>
  </w:num>
  <w:num w:numId="7">
    <w:abstractNumId w:val="10"/>
  </w:num>
  <w:num w:numId="8">
    <w:abstractNumId w:val="2"/>
  </w:num>
  <w:num w:numId="9">
    <w:abstractNumId w:val="8"/>
  </w:num>
  <w:num w:numId="10">
    <w:abstractNumId w:val="11"/>
  </w:num>
  <w:num w:numId="11">
    <w:abstractNumId w:val="5"/>
  </w:num>
  <w:num w:numId="12">
    <w:abstractNumId w:val="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6579"/>
    <w:rsid w:val="000259B8"/>
    <w:rsid w:val="000B3796"/>
    <w:rsid w:val="0010594E"/>
    <w:rsid w:val="00107A74"/>
    <w:rsid w:val="00121D41"/>
    <w:rsid w:val="0014535C"/>
    <w:rsid w:val="0015353F"/>
    <w:rsid w:val="001546EA"/>
    <w:rsid w:val="001554E7"/>
    <w:rsid w:val="001637E5"/>
    <w:rsid w:val="00196E56"/>
    <w:rsid w:val="0019786D"/>
    <w:rsid w:val="001B305C"/>
    <w:rsid w:val="0020549B"/>
    <w:rsid w:val="00237FBD"/>
    <w:rsid w:val="002479DD"/>
    <w:rsid w:val="002E173F"/>
    <w:rsid w:val="00315C09"/>
    <w:rsid w:val="00357DE0"/>
    <w:rsid w:val="00384C00"/>
    <w:rsid w:val="003D76E5"/>
    <w:rsid w:val="003E4C1D"/>
    <w:rsid w:val="003F3444"/>
    <w:rsid w:val="00402AB6"/>
    <w:rsid w:val="00410B25"/>
    <w:rsid w:val="00412A04"/>
    <w:rsid w:val="00452BAE"/>
    <w:rsid w:val="004D2F28"/>
    <w:rsid w:val="004F37DE"/>
    <w:rsid w:val="00530E52"/>
    <w:rsid w:val="005E2D53"/>
    <w:rsid w:val="005E4E58"/>
    <w:rsid w:val="005F10C0"/>
    <w:rsid w:val="00623869"/>
    <w:rsid w:val="00665171"/>
    <w:rsid w:val="00666955"/>
    <w:rsid w:val="00683FBC"/>
    <w:rsid w:val="00695E32"/>
    <w:rsid w:val="006A7649"/>
    <w:rsid w:val="006B2D5F"/>
    <w:rsid w:val="006E6495"/>
    <w:rsid w:val="006F11C7"/>
    <w:rsid w:val="006F1D7B"/>
    <w:rsid w:val="006F593A"/>
    <w:rsid w:val="00705A75"/>
    <w:rsid w:val="00737353"/>
    <w:rsid w:val="007648CD"/>
    <w:rsid w:val="00795D31"/>
    <w:rsid w:val="007B29DA"/>
    <w:rsid w:val="007C5B2B"/>
    <w:rsid w:val="00801C93"/>
    <w:rsid w:val="00874F58"/>
    <w:rsid w:val="00883634"/>
    <w:rsid w:val="008D2638"/>
    <w:rsid w:val="00942589"/>
    <w:rsid w:val="00944467"/>
    <w:rsid w:val="009662E3"/>
    <w:rsid w:val="009827C9"/>
    <w:rsid w:val="009A34C5"/>
    <w:rsid w:val="009A4E4D"/>
    <w:rsid w:val="009C28B0"/>
    <w:rsid w:val="009C6C7F"/>
    <w:rsid w:val="00A146F1"/>
    <w:rsid w:val="00A219F0"/>
    <w:rsid w:val="00AD3FFE"/>
    <w:rsid w:val="00B2046D"/>
    <w:rsid w:val="00B360BF"/>
    <w:rsid w:val="00B76B6A"/>
    <w:rsid w:val="00B802D2"/>
    <w:rsid w:val="00B87E51"/>
    <w:rsid w:val="00B9739E"/>
    <w:rsid w:val="00BC5C4C"/>
    <w:rsid w:val="00BC7C98"/>
    <w:rsid w:val="00C0182D"/>
    <w:rsid w:val="00C11EC1"/>
    <w:rsid w:val="00C611F9"/>
    <w:rsid w:val="00C7731E"/>
    <w:rsid w:val="00C93751"/>
    <w:rsid w:val="00CD05AB"/>
    <w:rsid w:val="00CF5E46"/>
    <w:rsid w:val="00D15C73"/>
    <w:rsid w:val="00D2384F"/>
    <w:rsid w:val="00D32040"/>
    <w:rsid w:val="00DB7CF6"/>
    <w:rsid w:val="00DC27F9"/>
    <w:rsid w:val="00DC4499"/>
    <w:rsid w:val="00DD0FFA"/>
    <w:rsid w:val="00E04D15"/>
    <w:rsid w:val="00E073BD"/>
    <w:rsid w:val="00E6281A"/>
    <w:rsid w:val="00E64520"/>
    <w:rsid w:val="00E81B12"/>
    <w:rsid w:val="00EA245E"/>
    <w:rsid w:val="00EE1EE1"/>
    <w:rsid w:val="00EE4ECC"/>
    <w:rsid w:val="00EE7B55"/>
    <w:rsid w:val="00EF36D6"/>
    <w:rsid w:val="00F107D2"/>
    <w:rsid w:val="00F36FC4"/>
    <w:rsid w:val="00F93ED9"/>
    <w:rsid w:val="00FB1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7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523">
      <w:bodyDiv w:val="1"/>
      <w:marLeft w:val="0"/>
      <w:marRight w:val="0"/>
      <w:marTop w:val="0"/>
      <w:marBottom w:val="0"/>
      <w:divBdr>
        <w:top w:val="none" w:sz="0" w:space="0" w:color="auto"/>
        <w:left w:val="none" w:sz="0" w:space="0" w:color="auto"/>
        <w:bottom w:val="none" w:sz="0" w:space="0" w:color="auto"/>
        <w:right w:val="none" w:sz="0" w:space="0" w:color="auto"/>
      </w:divBdr>
    </w:div>
    <w:div w:id="56056279">
      <w:bodyDiv w:val="1"/>
      <w:marLeft w:val="0"/>
      <w:marRight w:val="0"/>
      <w:marTop w:val="0"/>
      <w:marBottom w:val="0"/>
      <w:divBdr>
        <w:top w:val="none" w:sz="0" w:space="0" w:color="auto"/>
        <w:left w:val="none" w:sz="0" w:space="0" w:color="auto"/>
        <w:bottom w:val="none" w:sz="0" w:space="0" w:color="auto"/>
        <w:right w:val="none" w:sz="0" w:space="0" w:color="auto"/>
      </w:divBdr>
    </w:div>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228924369">
      <w:bodyDiv w:val="1"/>
      <w:marLeft w:val="0"/>
      <w:marRight w:val="0"/>
      <w:marTop w:val="0"/>
      <w:marBottom w:val="0"/>
      <w:divBdr>
        <w:top w:val="none" w:sz="0" w:space="0" w:color="auto"/>
        <w:left w:val="none" w:sz="0" w:space="0" w:color="auto"/>
        <w:bottom w:val="none" w:sz="0" w:space="0" w:color="auto"/>
        <w:right w:val="none" w:sz="0" w:space="0" w:color="auto"/>
      </w:divBdr>
    </w:div>
    <w:div w:id="267276652">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454829283">
      <w:bodyDiv w:val="1"/>
      <w:marLeft w:val="0"/>
      <w:marRight w:val="0"/>
      <w:marTop w:val="0"/>
      <w:marBottom w:val="0"/>
      <w:divBdr>
        <w:top w:val="none" w:sz="0" w:space="0" w:color="auto"/>
        <w:left w:val="none" w:sz="0" w:space="0" w:color="auto"/>
        <w:bottom w:val="none" w:sz="0" w:space="0" w:color="auto"/>
        <w:right w:val="none" w:sz="0" w:space="0" w:color="auto"/>
      </w:divBdr>
    </w:div>
    <w:div w:id="506097567">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608438935">
      <w:bodyDiv w:val="1"/>
      <w:marLeft w:val="0"/>
      <w:marRight w:val="0"/>
      <w:marTop w:val="0"/>
      <w:marBottom w:val="0"/>
      <w:divBdr>
        <w:top w:val="none" w:sz="0" w:space="0" w:color="auto"/>
        <w:left w:val="none" w:sz="0" w:space="0" w:color="auto"/>
        <w:bottom w:val="none" w:sz="0" w:space="0" w:color="auto"/>
        <w:right w:val="none" w:sz="0" w:space="0" w:color="auto"/>
      </w:divBdr>
    </w:div>
    <w:div w:id="658310372">
      <w:bodyDiv w:val="1"/>
      <w:marLeft w:val="0"/>
      <w:marRight w:val="0"/>
      <w:marTop w:val="0"/>
      <w:marBottom w:val="0"/>
      <w:divBdr>
        <w:top w:val="none" w:sz="0" w:space="0" w:color="auto"/>
        <w:left w:val="none" w:sz="0" w:space="0" w:color="auto"/>
        <w:bottom w:val="none" w:sz="0" w:space="0" w:color="auto"/>
        <w:right w:val="none" w:sz="0" w:space="0" w:color="auto"/>
      </w:divBdr>
    </w:div>
    <w:div w:id="687370598">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39352015">
      <w:bodyDiv w:val="1"/>
      <w:marLeft w:val="0"/>
      <w:marRight w:val="0"/>
      <w:marTop w:val="0"/>
      <w:marBottom w:val="0"/>
      <w:divBdr>
        <w:top w:val="none" w:sz="0" w:space="0" w:color="auto"/>
        <w:left w:val="none" w:sz="0" w:space="0" w:color="auto"/>
        <w:bottom w:val="none" w:sz="0" w:space="0" w:color="auto"/>
        <w:right w:val="none" w:sz="0" w:space="0" w:color="auto"/>
      </w:divBdr>
    </w:div>
    <w:div w:id="916747065">
      <w:bodyDiv w:val="1"/>
      <w:marLeft w:val="0"/>
      <w:marRight w:val="0"/>
      <w:marTop w:val="0"/>
      <w:marBottom w:val="0"/>
      <w:divBdr>
        <w:top w:val="none" w:sz="0" w:space="0" w:color="auto"/>
        <w:left w:val="none" w:sz="0" w:space="0" w:color="auto"/>
        <w:bottom w:val="none" w:sz="0" w:space="0" w:color="auto"/>
        <w:right w:val="none" w:sz="0" w:space="0" w:color="auto"/>
      </w:divBdr>
      <w:divsChild>
        <w:div w:id="1337422310">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965084014">
      <w:bodyDiv w:val="1"/>
      <w:marLeft w:val="0"/>
      <w:marRight w:val="0"/>
      <w:marTop w:val="0"/>
      <w:marBottom w:val="0"/>
      <w:divBdr>
        <w:top w:val="none" w:sz="0" w:space="0" w:color="auto"/>
        <w:left w:val="none" w:sz="0" w:space="0" w:color="auto"/>
        <w:bottom w:val="none" w:sz="0" w:space="0" w:color="auto"/>
        <w:right w:val="none" w:sz="0" w:space="0" w:color="auto"/>
      </w:divBdr>
    </w:div>
    <w:div w:id="992178382">
      <w:bodyDiv w:val="1"/>
      <w:marLeft w:val="0"/>
      <w:marRight w:val="0"/>
      <w:marTop w:val="0"/>
      <w:marBottom w:val="0"/>
      <w:divBdr>
        <w:top w:val="none" w:sz="0" w:space="0" w:color="auto"/>
        <w:left w:val="none" w:sz="0" w:space="0" w:color="auto"/>
        <w:bottom w:val="none" w:sz="0" w:space="0" w:color="auto"/>
        <w:right w:val="none" w:sz="0" w:space="0" w:color="auto"/>
      </w:divBdr>
    </w:div>
    <w:div w:id="1089930436">
      <w:bodyDiv w:val="1"/>
      <w:marLeft w:val="0"/>
      <w:marRight w:val="0"/>
      <w:marTop w:val="0"/>
      <w:marBottom w:val="0"/>
      <w:divBdr>
        <w:top w:val="none" w:sz="0" w:space="0" w:color="auto"/>
        <w:left w:val="none" w:sz="0" w:space="0" w:color="auto"/>
        <w:bottom w:val="none" w:sz="0" w:space="0" w:color="auto"/>
        <w:right w:val="none" w:sz="0" w:space="0" w:color="auto"/>
      </w:divBdr>
    </w:div>
    <w:div w:id="1155877973">
      <w:bodyDiv w:val="1"/>
      <w:marLeft w:val="0"/>
      <w:marRight w:val="0"/>
      <w:marTop w:val="0"/>
      <w:marBottom w:val="0"/>
      <w:divBdr>
        <w:top w:val="none" w:sz="0" w:space="0" w:color="auto"/>
        <w:left w:val="none" w:sz="0" w:space="0" w:color="auto"/>
        <w:bottom w:val="none" w:sz="0" w:space="0" w:color="auto"/>
        <w:right w:val="none" w:sz="0" w:space="0" w:color="auto"/>
      </w:divBdr>
    </w:div>
    <w:div w:id="1277831796">
      <w:bodyDiv w:val="1"/>
      <w:marLeft w:val="0"/>
      <w:marRight w:val="0"/>
      <w:marTop w:val="0"/>
      <w:marBottom w:val="0"/>
      <w:divBdr>
        <w:top w:val="none" w:sz="0" w:space="0" w:color="auto"/>
        <w:left w:val="none" w:sz="0" w:space="0" w:color="auto"/>
        <w:bottom w:val="none" w:sz="0" w:space="0" w:color="auto"/>
        <w:right w:val="none" w:sz="0" w:space="0" w:color="auto"/>
      </w:divBdr>
    </w:div>
    <w:div w:id="135870200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716615439">
      <w:bodyDiv w:val="1"/>
      <w:marLeft w:val="0"/>
      <w:marRight w:val="0"/>
      <w:marTop w:val="0"/>
      <w:marBottom w:val="0"/>
      <w:divBdr>
        <w:top w:val="none" w:sz="0" w:space="0" w:color="auto"/>
        <w:left w:val="none" w:sz="0" w:space="0" w:color="auto"/>
        <w:bottom w:val="none" w:sz="0" w:space="0" w:color="auto"/>
        <w:right w:val="none" w:sz="0" w:space="0" w:color="auto"/>
      </w:divBdr>
    </w:div>
    <w:div w:id="1943881203">
      <w:bodyDiv w:val="1"/>
      <w:marLeft w:val="0"/>
      <w:marRight w:val="0"/>
      <w:marTop w:val="0"/>
      <w:marBottom w:val="0"/>
      <w:divBdr>
        <w:top w:val="none" w:sz="0" w:space="0" w:color="auto"/>
        <w:left w:val="none" w:sz="0" w:space="0" w:color="auto"/>
        <w:bottom w:val="none" w:sz="0" w:space="0" w:color="auto"/>
        <w:right w:val="none" w:sz="0" w:space="0" w:color="auto"/>
      </w:divBdr>
    </w:div>
    <w:div w:id="2091079330">
      <w:bodyDiv w:val="1"/>
      <w:marLeft w:val="0"/>
      <w:marRight w:val="0"/>
      <w:marTop w:val="0"/>
      <w:marBottom w:val="0"/>
      <w:divBdr>
        <w:top w:val="none" w:sz="0" w:space="0" w:color="auto"/>
        <w:left w:val="none" w:sz="0" w:space="0" w:color="auto"/>
        <w:bottom w:val="none" w:sz="0" w:space="0" w:color="auto"/>
        <w:right w:val="none" w:sz="0" w:space="0" w:color="auto"/>
      </w:divBdr>
    </w:div>
    <w:div w:id="2093965184">
      <w:bodyDiv w:val="1"/>
      <w:marLeft w:val="0"/>
      <w:marRight w:val="0"/>
      <w:marTop w:val="0"/>
      <w:marBottom w:val="0"/>
      <w:divBdr>
        <w:top w:val="none" w:sz="0" w:space="0" w:color="auto"/>
        <w:left w:val="none" w:sz="0" w:space="0" w:color="auto"/>
        <w:bottom w:val="none" w:sz="0" w:space="0" w:color="auto"/>
        <w:right w:val="none" w:sz="0" w:space="0" w:color="auto"/>
      </w:divBdr>
      <w:divsChild>
        <w:div w:id="5524558">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2PRZ8B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uqIGa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2PRZ8B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_rels/footer1.xml.rels><?xml version="1.0" encoding="UTF-8" standalone="yes"?>
<Relationships xmlns="http://schemas.openxmlformats.org/package/2006/relationships"><Relationship Id="rId2" Type="http://schemas.openxmlformats.org/officeDocument/2006/relationships/hyperlink" Target="https://rsc.li/3elP3pS"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3.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4.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Analysis of aspirin on a microscale - student sheet</vt:lpstr>
    </vt:vector>
  </TitlesOfParts>
  <Company>Royal Society Of Chemistry</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aspirin on a microscale - teacher notes</dc:title>
  <dc:subject>Use these teacher notes to help set up a microscale analysis of aspirin tablets with your students.</dc:subject>
  <dc:creator>Royal Society of Chemistry</dc:creator>
  <cp:keywords/>
  <dc:description/>
  <cp:lastModifiedBy>Chris Runciman</cp:lastModifiedBy>
  <cp:revision>15</cp:revision>
  <dcterms:created xsi:type="dcterms:W3CDTF">2021-05-06T10:03:00Z</dcterms:created>
  <dcterms:modified xsi:type="dcterms:W3CDTF">2021-06-25T12:56:00Z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