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E1A37" w14:textId="36153E21" w:rsidR="009C6C7F" w:rsidRDefault="005E0A1C" w:rsidP="006E6495">
      <w:pPr>
        <w:pStyle w:val="Heading1"/>
      </w:pPr>
      <w:r>
        <w:t xml:space="preserve">Electrolysis using a microscale Hoffman apparatus – </w:t>
      </w:r>
      <w:r w:rsidR="00F31C59">
        <w:t>teacher notes</w:t>
      </w:r>
    </w:p>
    <w:p w14:paraId="6BD8EAEC" w14:textId="3C389F31" w:rsidR="00EE7B55" w:rsidRDefault="00EE7B55" w:rsidP="006E6495"/>
    <w:p w14:paraId="633FE19B" w14:textId="3234029C" w:rsidR="00695E32" w:rsidRPr="00EE7B55" w:rsidRDefault="00F31C59" w:rsidP="006E6495">
      <w:r>
        <w:t>In this experiment students use a microscale Hoffman apparatus to investigate the electrolysis of sodium sulphate solution.</w:t>
      </w:r>
    </w:p>
    <w:p w14:paraId="4F98C5DE" w14:textId="05D77A4D" w:rsidR="00A704DD" w:rsidRDefault="00F31C59" w:rsidP="00F31C59">
      <w:pPr>
        <w:pStyle w:val="Heading2"/>
      </w:pPr>
      <w:r>
        <w:t>Topic</w:t>
      </w:r>
    </w:p>
    <w:p w14:paraId="367B9B23" w14:textId="3EFB6C46" w:rsidR="00F31C59" w:rsidRDefault="00F31C59" w:rsidP="00F31C59"/>
    <w:p w14:paraId="4E759C1C" w14:textId="704E1ACC" w:rsidR="00F31C59" w:rsidRDefault="00F31C59" w:rsidP="00F31C59">
      <w:r>
        <w:t>Electrolysis</w:t>
      </w:r>
    </w:p>
    <w:p w14:paraId="7F670402" w14:textId="1BD391A3" w:rsidR="00F31C59" w:rsidRDefault="00F31C59" w:rsidP="00F31C59">
      <w:pPr>
        <w:pStyle w:val="Heading2"/>
      </w:pPr>
      <w:r>
        <w:t>Timing</w:t>
      </w:r>
    </w:p>
    <w:p w14:paraId="1E86CF91" w14:textId="34D5ADBE" w:rsidR="00F31C59" w:rsidRDefault="00F31C59" w:rsidP="00F31C59"/>
    <w:p w14:paraId="0477111E" w14:textId="1C09164A" w:rsidR="00F31C59" w:rsidRDefault="00F31C59" w:rsidP="00F31C59">
      <w:r>
        <w:t>25 minutes</w:t>
      </w:r>
    </w:p>
    <w:p w14:paraId="23A8DDA4" w14:textId="60C441D8" w:rsidR="00F31C59" w:rsidRDefault="00F31C59" w:rsidP="00F31C59">
      <w:pPr>
        <w:pStyle w:val="Heading2"/>
      </w:pPr>
      <w:r>
        <w:t>Equipment</w:t>
      </w:r>
    </w:p>
    <w:p w14:paraId="641EEF62" w14:textId="11D25C5E" w:rsidR="00F31C59" w:rsidRDefault="00F31C59" w:rsidP="00F31C59"/>
    <w:p w14:paraId="4E2E4CDA" w14:textId="27EF87CF" w:rsidR="00F31C59" w:rsidRDefault="00F31C59" w:rsidP="00F31C59">
      <w:pPr>
        <w:pStyle w:val="Heading3"/>
      </w:pPr>
      <w:r>
        <w:t>Apparatus</w:t>
      </w:r>
    </w:p>
    <w:p w14:paraId="2B39E6BE" w14:textId="6755D8FE" w:rsidR="00F31C59" w:rsidRDefault="00F31C59" w:rsidP="00F31C59"/>
    <w:p w14:paraId="251CD052" w14:textId="77777777" w:rsidR="00B50D88" w:rsidRPr="00B50D88" w:rsidRDefault="00B50D88" w:rsidP="00B50D88">
      <w:pPr>
        <w:numPr>
          <w:ilvl w:val="0"/>
          <w:numId w:val="10"/>
        </w:numPr>
        <w:spacing w:after="120"/>
        <w:ind w:left="714" w:hanging="357"/>
      </w:pPr>
      <w:r w:rsidRPr="00B50D88">
        <w:t>Eye protection</w:t>
      </w:r>
    </w:p>
    <w:p w14:paraId="5D7096EE" w14:textId="77777777" w:rsidR="00B50D88" w:rsidRPr="00B50D88" w:rsidRDefault="00B50D88" w:rsidP="00B50D88">
      <w:pPr>
        <w:numPr>
          <w:ilvl w:val="0"/>
          <w:numId w:val="10"/>
        </w:numPr>
        <w:spacing w:after="120"/>
        <w:ind w:left="714" w:hanging="357"/>
      </w:pPr>
      <w:r w:rsidRPr="00B50D88">
        <w:t>Clamp and stand</w:t>
      </w:r>
    </w:p>
    <w:p w14:paraId="435B0AB1" w14:textId="77777777" w:rsidR="00B50D88" w:rsidRPr="00B50D88" w:rsidRDefault="00B50D88" w:rsidP="00B50D88">
      <w:pPr>
        <w:numPr>
          <w:ilvl w:val="0"/>
          <w:numId w:val="10"/>
        </w:numPr>
        <w:spacing w:after="120"/>
        <w:ind w:left="714" w:hanging="357"/>
      </w:pPr>
      <w:r w:rsidRPr="00B50D88">
        <w:t>Microscale Hoffman apparatus (see note 3 below)</w:t>
      </w:r>
    </w:p>
    <w:p w14:paraId="16B6072A" w14:textId="77777777" w:rsidR="00B50D88" w:rsidRPr="00B50D88" w:rsidRDefault="00B50D88" w:rsidP="00B50D88">
      <w:pPr>
        <w:numPr>
          <w:ilvl w:val="0"/>
          <w:numId w:val="10"/>
        </w:numPr>
        <w:spacing w:after="120"/>
        <w:ind w:left="714" w:hanging="357"/>
      </w:pPr>
      <w:r w:rsidRPr="00B50D88">
        <w:t>9 volt battery and leads with crocodile clips</w:t>
      </w:r>
    </w:p>
    <w:p w14:paraId="603D8815" w14:textId="77777777" w:rsidR="00B50D88" w:rsidRPr="00B50D88" w:rsidRDefault="00B50D88" w:rsidP="00B50D88">
      <w:pPr>
        <w:numPr>
          <w:ilvl w:val="0"/>
          <w:numId w:val="10"/>
        </w:numPr>
        <w:spacing w:after="120"/>
        <w:ind w:left="714" w:hanging="357"/>
      </w:pPr>
      <w:r w:rsidRPr="00B50D88">
        <w:t>Plastic pipette</w:t>
      </w:r>
    </w:p>
    <w:p w14:paraId="339A85D1" w14:textId="77777777" w:rsidR="00B50D88" w:rsidRPr="00B50D88" w:rsidRDefault="00B50D88" w:rsidP="00B50D88">
      <w:pPr>
        <w:numPr>
          <w:ilvl w:val="0"/>
          <w:numId w:val="10"/>
        </w:numPr>
        <w:spacing w:after="120"/>
        <w:ind w:left="714" w:hanging="357"/>
      </w:pPr>
      <w:r w:rsidRPr="00B50D88">
        <w:t>Blu-Tack®</w:t>
      </w:r>
    </w:p>
    <w:p w14:paraId="4A0C63E3" w14:textId="77777777" w:rsidR="00B50D88" w:rsidRPr="00B50D88" w:rsidRDefault="00B50D88" w:rsidP="00B50D88">
      <w:pPr>
        <w:numPr>
          <w:ilvl w:val="0"/>
          <w:numId w:val="10"/>
        </w:numPr>
      </w:pPr>
      <w:r w:rsidRPr="00B50D88">
        <w:t>Beaker, 100 cm</w:t>
      </w:r>
      <w:r w:rsidRPr="00B50D88">
        <w:rPr>
          <w:vertAlign w:val="superscript"/>
        </w:rPr>
        <w:t>3</w:t>
      </w:r>
    </w:p>
    <w:p w14:paraId="63727D89" w14:textId="7BAB9D47" w:rsidR="00F31C59" w:rsidRDefault="00F31C59" w:rsidP="00F31C59"/>
    <w:p w14:paraId="01BDAA27" w14:textId="7881711B" w:rsidR="00B50D88" w:rsidRDefault="00B50D88" w:rsidP="00B50D88">
      <w:pPr>
        <w:pStyle w:val="Heading3"/>
      </w:pPr>
      <w:r>
        <w:t>Chemicals</w:t>
      </w:r>
    </w:p>
    <w:p w14:paraId="18DD0BC0" w14:textId="731890CD" w:rsidR="00B50D88" w:rsidRDefault="00B50D88" w:rsidP="00B50D88"/>
    <w:p w14:paraId="3E19FCD6" w14:textId="77777777" w:rsidR="00B50D88" w:rsidRPr="00B50D88" w:rsidRDefault="00B50D88" w:rsidP="00B50D88">
      <w:pPr>
        <w:numPr>
          <w:ilvl w:val="0"/>
          <w:numId w:val="11"/>
        </w:numPr>
        <w:spacing w:after="120"/>
        <w:ind w:left="714" w:hanging="357"/>
      </w:pPr>
      <w:r w:rsidRPr="00B50D88">
        <w:t>Sodium sulfate solution, 0.2 mol dm</w:t>
      </w:r>
      <w:r w:rsidRPr="00B50D88">
        <w:rPr>
          <w:vertAlign w:val="superscript"/>
        </w:rPr>
        <w:t>–3</w:t>
      </w:r>
    </w:p>
    <w:p w14:paraId="06057663" w14:textId="77777777" w:rsidR="00B50D88" w:rsidRPr="00B50D88" w:rsidRDefault="00B50D88" w:rsidP="00B50D88">
      <w:pPr>
        <w:numPr>
          <w:ilvl w:val="0"/>
          <w:numId w:val="11"/>
        </w:numPr>
      </w:pPr>
      <w:r w:rsidRPr="00B50D88">
        <w:t>Bromothymol blue indicator</w:t>
      </w:r>
    </w:p>
    <w:p w14:paraId="56B52276" w14:textId="4DDF2A94" w:rsidR="00D24E48" w:rsidRDefault="00D24E48" w:rsidP="00B50D88">
      <w:pPr>
        <w:pStyle w:val="Heading2"/>
      </w:pPr>
      <w:r>
        <w:t>Health, safety and technical notes</w:t>
      </w:r>
    </w:p>
    <w:p w14:paraId="05714869" w14:textId="65F3930C" w:rsidR="00D24E48" w:rsidRDefault="00D24E48" w:rsidP="00D24E48"/>
    <w:p w14:paraId="6DCE26EC" w14:textId="66CEDEB9" w:rsidR="008B3B8A" w:rsidRPr="008B3B8A" w:rsidRDefault="008B3B8A" w:rsidP="008B3B8A">
      <w:pPr>
        <w:numPr>
          <w:ilvl w:val="0"/>
          <w:numId w:val="12"/>
        </w:numPr>
        <w:spacing w:after="120"/>
        <w:ind w:left="714" w:hanging="357"/>
      </w:pPr>
      <w:r w:rsidRPr="008B3B8A">
        <w:t>Read our standard health and safety guidance</w:t>
      </w:r>
      <w:r w:rsidR="005B5FDF">
        <w:t xml:space="preserve"> (</w:t>
      </w:r>
      <w:hyperlink r:id="rId11" w:history="1">
        <w:r w:rsidR="005B5FDF" w:rsidRPr="0012273D">
          <w:rPr>
            <w:rStyle w:val="Hyperlink"/>
          </w:rPr>
          <w:t>https://rsc.li/3xQfR9o</w:t>
        </w:r>
      </w:hyperlink>
      <w:r w:rsidR="005B5FDF">
        <w:t>)</w:t>
      </w:r>
      <w:r w:rsidRPr="008B3B8A">
        <w:t>.</w:t>
      </w:r>
    </w:p>
    <w:p w14:paraId="18B81C0E" w14:textId="77777777" w:rsidR="008B3B8A" w:rsidRPr="008B3B8A" w:rsidRDefault="008B3B8A" w:rsidP="008B3B8A">
      <w:pPr>
        <w:numPr>
          <w:ilvl w:val="0"/>
          <w:numId w:val="12"/>
        </w:numPr>
        <w:spacing w:after="120"/>
        <w:ind w:left="714" w:hanging="357"/>
      </w:pPr>
      <w:r w:rsidRPr="008B3B8A">
        <w:t>Wear eye protection throughout.</w:t>
      </w:r>
    </w:p>
    <w:p w14:paraId="7659C11A" w14:textId="77777777" w:rsidR="005D07A9" w:rsidRDefault="008B3B8A" w:rsidP="005D07A9">
      <w:pPr>
        <w:numPr>
          <w:ilvl w:val="0"/>
          <w:numId w:val="12"/>
        </w:numPr>
        <w:spacing w:after="120"/>
        <w:ind w:left="714" w:hanging="357"/>
      </w:pPr>
      <w:r w:rsidRPr="008B3B8A">
        <w:t>Check our guidance on apparatus and techniques for microscale chemistry</w:t>
      </w:r>
      <w:r w:rsidR="003148B8">
        <w:t xml:space="preserve"> (</w:t>
      </w:r>
      <w:hyperlink r:id="rId12" w:history="1">
        <w:r w:rsidR="003148B8" w:rsidRPr="0012273D">
          <w:rPr>
            <w:rStyle w:val="Hyperlink"/>
          </w:rPr>
          <w:t>https://rsc.li/3b8emd3</w:t>
        </w:r>
      </w:hyperlink>
      <w:r w:rsidR="003148B8">
        <w:t>)</w:t>
      </w:r>
      <w:r w:rsidRPr="008B3B8A">
        <w:t> to find out more about setting up microscale Hoffman apparatus.</w:t>
      </w:r>
    </w:p>
    <w:p w14:paraId="43F3C996" w14:textId="7C58E416" w:rsidR="005D07A9" w:rsidRDefault="005D07A9" w:rsidP="005D07A9">
      <w:pPr>
        <w:numPr>
          <w:ilvl w:val="0"/>
          <w:numId w:val="12"/>
        </w:numPr>
        <w:spacing w:after="120"/>
        <w:ind w:left="714" w:hanging="357"/>
      </w:pPr>
      <w:r w:rsidRPr="005D07A9">
        <w:t>Sodium sulfate, Na</w:t>
      </w:r>
      <w:r w:rsidRPr="005D07A9">
        <w:rPr>
          <w:vertAlign w:val="subscript"/>
        </w:rPr>
        <w:t>2</w:t>
      </w:r>
      <w:r w:rsidRPr="005D07A9">
        <w:t>SO</w:t>
      </w:r>
      <w:r w:rsidRPr="005D07A9">
        <w:rPr>
          <w:vertAlign w:val="subscript"/>
        </w:rPr>
        <w:t>3</w:t>
      </w:r>
      <w:r w:rsidRPr="005D07A9">
        <w:t>(aq), 0.5 mol dm</w:t>
      </w:r>
      <w:r w:rsidRPr="005D07A9">
        <w:rPr>
          <w:vertAlign w:val="superscript"/>
        </w:rPr>
        <w:t>–3</w:t>
      </w:r>
      <w:r w:rsidRPr="005D07A9">
        <w:t> is of low hazard. See CLEAPSS Hazcard HC09</w:t>
      </w:r>
      <w:r w:rsidR="00C001EA">
        <w:t>8</w:t>
      </w:r>
      <w:r w:rsidRPr="005D07A9">
        <w:t>B and CLEAPSS Recipe Book RB107.</w:t>
      </w:r>
    </w:p>
    <w:p w14:paraId="2A45A16C" w14:textId="7BFD6AB6" w:rsidR="00F83C62" w:rsidRPr="008B3B8A" w:rsidRDefault="005D07A9" w:rsidP="005D07A9">
      <w:pPr>
        <w:numPr>
          <w:ilvl w:val="0"/>
          <w:numId w:val="12"/>
        </w:numPr>
        <w:spacing w:after="120"/>
        <w:ind w:left="714" w:hanging="357"/>
      </w:pPr>
      <w:r w:rsidRPr="005D07A9">
        <w:t>Bromothymol blue solution is of low hazard. See CLEAPSS Hazcard HC032.</w:t>
      </w:r>
    </w:p>
    <w:p w14:paraId="1077F054" w14:textId="33D392D7" w:rsidR="00B50D88" w:rsidRDefault="00B50D88" w:rsidP="00B50D88">
      <w:pPr>
        <w:pStyle w:val="Heading2"/>
      </w:pPr>
      <w:r>
        <w:t>Teaching notes and expected observations</w:t>
      </w:r>
    </w:p>
    <w:p w14:paraId="4AB769A7" w14:textId="795D128B" w:rsidR="00B50D88" w:rsidRDefault="00B50D88" w:rsidP="00B50D88"/>
    <w:p w14:paraId="3ECA1D93" w14:textId="1FE11E99" w:rsidR="00D24E48" w:rsidRPr="00D24E48" w:rsidRDefault="00D24E48" w:rsidP="00D24E48">
      <w:r w:rsidRPr="00D24E48">
        <w:t>Streams of bubbles are seen at each electrode. The colour of the solution around the cathode gradually turns blue due to the formation of sodium hydroxide. The solution around the anode becomes greenish-yellow.</w:t>
      </w:r>
    </w:p>
    <w:p w14:paraId="029D4766" w14:textId="53A3A59A" w:rsidR="00B50D88" w:rsidRPr="00B50D88" w:rsidRDefault="00D24E48" w:rsidP="00B50D88">
      <w:r w:rsidRPr="00D24E48">
        <w:lastRenderedPageBreak/>
        <w:t>If the tops of the pipettes are sealed with Blu-Tack® the volume of gas collecting above the cathode (hydrogen) is seen to be greater than that collecting above the anode (oxygen). If left connected for long enough the ratio of the volumes corresponds to the 2:1 ratio of hydrogen to oxygen in water. The shortened pipette (see our guidance on microscale apparatus and techniques</w:t>
      </w:r>
      <w:r w:rsidR="003148B8">
        <w:t xml:space="preserve"> – </w:t>
      </w:r>
      <w:hyperlink r:id="rId13" w:history="1">
        <w:r w:rsidR="003148B8" w:rsidRPr="0012273D">
          <w:rPr>
            <w:rStyle w:val="Hyperlink"/>
          </w:rPr>
          <w:t>https://rsc.li/3b8emd3</w:t>
        </w:r>
      </w:hyperlink>
      <w:r w:rsidRPr="00D24E48">
        <w:t>) can be used to sample the hydrogen gas and to test it by blowing it into a flame (it ‘pops’).</w:t>
      </w:r>
    </w:p>
    <w:sectPr w:rsidR="00B50D88" w:rsidRPr="00B50D88">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FB473" w14:textId="77777777" w:rsidR="00683FBC" w:rsidRDefault="00683FBC" w:rsidP="00883634">
      <w:pPr>
        <w:spacing w:line="240" w:lineRule="auto"/>
      </w:pPr>
      <w:r>
        <w:separator/>
      </w:r>
    </w:p>
  </w:endnote>
  <w:endnote w:type="continuationSeparator" w:id="0">
    <w:p w14:paraId="7EF9AF0B" w14:textId="77777777" w:rsidR="00683FBC" w:rsidRDefault="00683FBC"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CB23C" w14:textId="465CA4F3"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21" name="Picture 21"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6F1D7B">
      <w:rPr>
        <w:sz w:val="16"/>
        <w:szCs w:val="16"/>
      </w:rPr>
      <w:t xml:space="preserve"> </w:t>
    </w:r>
    <w:hyperlink r:id="rId2" w:history="1">
      <w:r w:rsidR="00B0077A" w:rsidRPr="0012273D">
        <w:rPr>
          <w:rStyle w:val="Hyperlink"/>
          <w:sz w:val="16"/>
          <w:szCs w:val="16"/>
        </w:rPr>
        <w:t>https://rsc.li/2Rt6VX5</w:t>
      </w:r>
    </w:hyperlink>
    <w:r w:rsidR="00B0077A">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6F846" w14:textId="77777777" w:rsidR="00683FBC" w:rsidRDefault="00683FBC" w:rsidP="00883634">
      <w:pPr>
        <w:spacing w:line="240" w:lineRule="auto"/>
      </w:pPr>
      <w:r>
        <w:separator/>
      </w:r>
    </w:p>
  </w:footnote>
  <w:footnote w:type="continuationSeparator" w:id="0">
    <w:p w14:paraId="6401E475" w14:textId="77777777" w:rsidR="00683FBC" w:rsidRDefault="00683FBC"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2BBB"/>
    <w:multiLevelType w:val="hybridMultilevel"/>
    <w:tmpl w:val="A4C6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12A72"/>
    <w:multiLevelType w:val="multilevel"/>
    <w:tmpl w:val="4768C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D5E05"/>
    <w:multiLevelType w:val="multilevel"/>
    <w:tmpl w:val="5334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816B0"/>
    <w:multiLevelType w:val="multilevel"/>
    <w:tmpl w:val="2CF2C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372473"/>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41DAE"/>
    <w:multiLevelType w:val="multilevel"/>
    <w:tmpl w:val="92AE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8161C"/>
    <w:multiLevelType w:val="hybridMultilevel"/>
    <w:tmpl w:val="B350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706F0C"/>
    <w:multiLevelType w:val="multilevel"/>
    <w:tmpl w:val="F7D66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444447"/>
    <w:multiLevelType w:val="multilevel"/>
    <w:tmpl w:val="43E89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531460"/>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EF36EC"/>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222FD4"/>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EC55E8"/>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1"/>
  </w:num>
  <w:num w:numId="3">
    <w:abstractNumId w:val="6"/>
  </w:num>
  <w:num w:numId="4">
    <w:abstractNumId w:val="9"/>
  </w:num>
  <w:num w:numId="5">
    <w:abstractNumId w:val="12"/>
  </w:num>
  <w:num w:numId="6">
    <w:abstractNumId w:val="4"/>
  </w:num>
  <w:num w:numId="7">
    <w:abstractNumId w:val="10"/>
  </w:num>
  <w:num w:numId="8">
    <w:abstractNumId w:val="3"/>
  </w:num>
  <w:num w:numId="9">
    <w:abstractNumId w:val="1"/>
  </w:num>
  <w:num w:numId="10">
    <w:abstractNumId w:val="5"/>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259B8"/>
    <w:rsid w:val="00026C99"/>
    <w:rsid w:val="00045E00"/>
    <w:rsid w:val="0010594E"/>
    <w:rsid w:val="00107A74"/>
    <w:rsid w:val="00121D41"/>
    <w:rsid w:val="0015353F"/>
    <w:rsid w:val="001546EA"/>
    <w:rsid w:val="001554E7"/>
    <w:rsid w:val="001637E5"/>
    <w:rsid w:val="00196E56"/>
    <w:rsid w:val="0019786D"/>
    <w:rsid w:val="002479DD"/>
    <w:rsid w:val="0027223F"/>
    <w:rsid w:val="002E173F"/>
    <w:rsid w:val="00302E2F"/>
    <w:rsid w:val="003148B8"/>
    <w:rsid w:val="00315C09"/>
    <w:rsid w:val="00357DE0"/>
    <w:rsid w:val="00384C00"/>
    <w:rsid w:val="003F3444"/>
    <w:rsid w:val="00402AB6"/>
    <w:rsid w:val="00412A04"/>
    <w:rsid w:val="00452BAE"/>
    <w:rsid w:val="004F37DE"/>
    <w:rsid w:val="00530E52"/>
    <w:rsid w:val="00546789"/>
    <w:rsid w:val="005B5FDF"/>
    <w:rsid w:val="005D07A9"/>
    <w:rsid w:val="005E0A1C"/>
    <w:rsid w:val="005E2D53"/>
    <w:rsid w:val="005E418B"/>
    <w:rsid w:val="005E4E58"/>
    <w:rsid w:val="005F10C0"/>
    <w:rsid w:val="00623869"/>
    <w:rsid w:val="00683FBC"/>
    <w:rsid w:val="00695E32"/>
    <w:rsid w:val="006A7649"/>
    <w:rsid w:val="006B2D5F"/>
    <w:rsid w:val="006E6495"/>
    <w:rsid w:val="006F11C7"/>
    <w:rsid w:val="006F1D7B"/>
    <w:rsid w:val="007648CD"/>
    <w:rsid w:val="0076548E"/>
    <w:rsid w:val="00795D31"/>
    <w:rsid w:val="007B29DA"/>
    <w:rsid w:val="007C5B2B"/>
    <w:rsid w:val="00801C93"/>
    <w:rsid w:val="00883634"/>
    <w:rsid w:val="008B3B8A"/>
    <w:rsid w:val="008D2638"/>
    <w:rsid w:val="00942589"/>
    <w:rsid w:val="00944467"/>
    <w:rsid w:val="009662E3"/>
    <w:rsid w:val="009827C9"/>
    <w:rsid w:val="00985587"/>
    <w:rsid w:val="009A34C5"/>
    <w:rsid w:val="009A4E4D"/>
    <w:rsid w:val="009C28B0"/>
    <w:rsid w:val="009C6C7F"/>
    <w:rsid w:val="00A704DD"/>
    <w:rsid w:val="00AD3FFE"/>
    <w:rsid w:val="00B0077A"/>
    <w:rsid w:val="00B2046D"/>
    <w:rsid w:val="00B50D88"/>
    <w:rsid w:val="00B76B6A"/>
    <w:rsid w:val="00B802D2"/>
    <w:rsid w:val="00B87E51"/>
    <w:rsid w:val="00BC5C4C"/>
    <w:rsid w:val="00BC7C98"/>
    <w:rsid w:val="00C001EA"/>
    <w:rsid w:val="00C0182D"/>
    <w:rsid w:val="00C11EC1"/>
    <w:rsid w:val="00C611F9"/>
    <w:rsid w:val="00CF5E46"/>
    <w:rsid w:val="00D15C73"/>
    <w:rsid w:val="00D24E48"/>
    <w:rsid w:val="00D32040"/>
    <w:rsid w:val="00DB7CF6"/>
    <w:rsid w:val="00DC4499"/>
    <w:rsid w:val="00E04D15"/>
    <w:rsid w:val="00E6281A"/>
    <w:rsid w:val="00E64520"/>
    <w:rsid w:val="00E81B12"/>
    <w:rsid w:val="00EA245E"/>
    <w:rsid w:val="00EE1EE1"/>
    <w:rsid w:val="00EE4ECC"/>
    <w:rsid w:val="00EE7B55"/>
    <w:rsid w:val="00F31C59"/>
    <w:rsid w:val="00F36FC4"/>
    <w:rsid w:val="00F83C62"/>
    <w:rsid w:val="00F93ED9"/>
    <w:rsid w:val="00F94795"/>
    <w:rsid w:val="00FB1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5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50082">
      <w:bodyDiv w:val="1"/>
      <w:marLeft w:val="0"/>
      <w:marRight w:val="0"/>
      <w:marTop w:val="0"/>
      <w:marBottom w:val="0"/>
      <w:divBdr>
        <w:top w:val="none" w:sz="0" w:space="0" w:color="auto"/>
        <w:left w:val="none" w:sz="0" w:space="0" w:color="auto"/>
        <w:bottom w:val="none" w:sz="0" w:space="0" w:color="auto"/>
        <w:right w:val="none" w:sz="0" w:space="0" w:color="auto"/>
      </w:divBdr>
    </w:div>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221067459">
      <w:bodyDiv w:val="1"/>
      <w:marLeft w:val="0"/>
      <w:marRight w:val="0"/>
      <w:marTop w:val="0"/>
      <w:marBottom w:val="0"/>
      <w:divBdr>
        <w:top w:val="none" w:sz="0" w:space="0" w:color="auto"/>
        <w:left w:val="none" w:sz="0" w:space="0" w:color="auto"/>
        <w:bottom w:val="none" w:sz="0" w:space="0" w:color="auto"/>
        <w:right w:val="none" w:sz="0" w:space="0" w:color="auto"/>
      </w:divBdr>
    </w:div>
    <w:div w:id="311564578">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447240727">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652176359">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42938290">
      <w:bodyDiv w:val="1"/>
      <w:marLeft w:val="0"/>
      <w:marRight w:val="0"/>
      <w:marTop w:val="0"/>
      <w:marBottom w:val="0"/>
      <w:divBdr>
        <w:top w:val="none" w:sz="0" w:space="0" w:color="auto"/>
        <w:left w:val="none" w:sz="0" w:space="0" w:color="auto"/>
        <w:bottom w:val="none" w:sz="0" w:space="0" w:color="auto"/>
        <w:right w:val="none" w:sz="0" w:space="0" w:color="auto"/>
      </w:divBdr>
    </w:div>
    <w:div w:id="845748989">
      <w:bodyDiv w:val="1"/>
      <w:marLeft w:val="0"/>
      <w:marRight w:val="0"/>
      <w:marTop w:val="0"/>
      <w:marBottom w:val="0"/>
      <w:divBdr>
        <w:top w:val="none" w:sz="0" w:space="0" w:color="auto"/>
        <w:left w:val="none" w:sz="0" w:space="0" w:color="auto"/>
        <w:bottom w:val="none" w:sz="0" w:space="0" w:color="auto"/>
        <w:right w:val="none" w:sz="0" w:space="0" w:color="auto"/>
      </w:divBdr>
    </w:div>
    <w:div w:id="850533109">
      <w:bodyDiv w:val="1"/>
      <w:marLeft w:val="0"/>
      <w:marRight w:val="0"/>
      <w:marTop w:val="0"/>
      <w:marBottom w:val="0"/>
      <w:divBdr>
        <w:top w:val="none" w:sz="0" w:space="0" w:color="auto"/>
        <w:left w:val="none" w:sz="0" w:space="0" w:color="auto"/>
        <w:bottom w:val="none" w:sz="0" w:space="0" w:color="auto"/>
        <w:right w:val="none" w:sz="0" w:space="0" w:color="auto"/>
      </w:divBdr>
    </w:div>
    <w:div w:id="1011445329">
      <w:bodyDiv w:val="1"/>
      <w:marLeft w:val="0"/>
      <w:marRight w:val="0"/>
      <w:marTop w:val="0"/>
      <w:marBottom w:val="0"/>
      <w:divBdr>
        <w:top w:val="none" w:sz="0" w:space="0" w:color="auto"/>
        <w:left w:val="none" w:sz="0" w:space="0" w:color="auto"/>
        <w:bottom w:val="none" w:sz="0" w:space="0" w:color="auto"/>
        <w:right w:val="none" w:sz="0" w:space="0" w:color="auto"/>
      </w:divBdr>
    </w:div>
    <w:div w:id="1059328803">
      <w:bodyDiv w:val="1"/>
      <w:marLeft w:val="0"/>
      <w:marRight w:val="0"/>
      <w:marTop w:val="0"/>
      <w:marBottom w:val="0"/>
      <w:divBdr>
        <w:top w:val="none" w:sz="0" w:space="0" w:color="auto"/>
        <w:left w:val="none" w:sz="0" w:space="0" w:color="auto"/>
        <w:bottom w:val="none" w:sz="0" w:space="0" w:color="auto"/>
        <w:right w:val="none" w:sz="0" w:space="0" w:color="auto"/>
      </w:divBdr>
    </w:div>
    <w:div w:id="1066534022">
      <w:bodyDiv w:val="1"/>
      <w:marLeft w:val="0"/>
      <w:marRight w:val="0"/>
      <w:marTop w:val="0"/>
      <w:marBottom w:val="0"/>
      <w:divBdr>
        <w:top w:val="none" w:sz="0" w:space="0" w:color="auto"/>
        <w:left w:val="none" w:sz="0" w:space="0" w:color="auto"/>
        <w:bottom w:val="none" w:sz="0" w:space="0" w:color="auto"/>
        <w:right w:val="none" w:sz="0" w:space="0" w:color="auto"/>
      </w:divBdr>
    </w:div>
    <w:div w:id="1145122437">
      <w:bodyDiv w:val="1"/>
      <w:marLeft w:val="0"/>
      <w:marRight w:val="0"/>
      <w:marTop w:val="0"/>
      <w:marBottom w:val="0"/>
      <w:divBdr>
        <w:top w:val="none" w:sz="0" w:space="0" w:color="auto"/>
        <w:left w:val="none" w:sz="0" w:space="0" w:color="auto"/>
        <w:bottom w:val="none" w:sz="0" w:space="0" w:color="auto"/>
        <w:right w:val="none" w:sz="0" w:space="0" w:color="auto"/>
      </w:divBdr>
    </w:div>
    <w:div w:id="1269653875">
      <w:bodyDiv w:val="1"/>
      <w:marLeft w:val="0"/>
      <w:marRight w:val="0"/>
      <w:marTop w:val="0"/>
      <w:marBottom w:val="0"/>
      <w:divBdr>
        <w:top w:val="none" w:sz="0" w:space="0" w:color="auto"/>
        <w:left w:val="none" w:sz="0" w:space="0" w:color="auto"/>
        <w:bottom w:val="none" w:sz="0" w:space="0" w:color="auto"/>
        <w:right w:val="none" w:sz="0" w:space="0" w:color="auto"/>
      </w:divBdr>
    </w:div>
    <w:div w:id="1338920747">
      <w:bodyDiv w:val="1"/>
      <w:marLeft w:val="0"/>
      <w:marRight w:val="0"/>
      <w:marTop w:val="0"/>
      <w:marBottom w:val="0"/>
      <w:divBdr>
        <w:top w:val="none" w:sz="0" w:space="0" w:color="auto"/>
        <w:left w:val="none" w:sz="0" w:space="0" w:color="auto"/>
        <w:bottom w:val="none" w:sz="0" w:space="0" w:color="auto"/>
        <w:right w:val="none" w:sz="0" w:space="0" w:color="auto"/>
      </w:divBdr>
    </w:div>
    <w:div w:id="1343777760">
      <w:bodyDiv w:val="1"/>
      <w:marLeft w:val="0"/>
      <w:marRight w:val="0"/>
      <w:marTop w:val="0"/>
      <w:marBottom w:val="0"/>
      <w:divBdr>
        <w:top w:val="none" w:sz="0" w:space="0" w:color="auto"/>
        <w:left w:val="none" w:sz="0" w:space="0" w:color="auto"/>
        <w:bottom w:val="none" w:sz="0" w:space="0" w:color="auto"/>
        <w:right w:val="none" w:sz="0" w:space="0" w:color="auto"/>
      </w:divBdr>
    </w:div>
    <w:div w:id="1349135590">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817140895">
      <w:bodyDiv w:val="1"/>
      <w:marLeft w:val="0"/>
      <w:marRight w:val="0"/>
      <w:marTop w:val="0"/>
      <w:marBottom w:val="0"/>
      <w:divBdr>
        <w:top w:val="none" w:sz="0" w:space="0" w:color="auto"/>
        <w:left w:val="none" w:sz="0" w:space="0" w:color="auto"/>
        <w:bottom w:val="none" w:sz="0" w:space="0" w:color="auto"/>
        <w:right w:val="none" w:sz="0" w:space="0" w:color="auto"/>
      </w:divBdr>
    </w:div>
    <w:div w:id="196661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c.li/3b8emd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b8emd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xQfR9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rsc.li/2Rt6VX5"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3.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4.xml><?xml version="1.0" encoding="utf-8"?>
<ds:datastoreItem xmlns:ds="http://schemas.openxmlformats.org/officeDocument/2006/customXml" ds:itemID="{0D813852-85C2-4AD3-84B5-1733ACFFCA21}">
  <ds:schemaRefs>
    <ds:schemaRef ds:uri="http://purl.org/dc/dcmitype/"/>
    <ds:schemaRef ds:uri="http://schemas.microsoft.com/office/2006/metadata/properties"/>
    <ds:schemaRef ds:uri="http://schemas.microsoft.com/office/2006/documentManagement/types"/>
    <ds:schemaRef ds:uri="735c6f9d-ea00-4d07-8164-4ddae4f5c3ce"/>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472a3ddc-6003-415e-a262-c0a931a5a88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Electrolysis using microscale Hoffman apparatus - teacher notes</vt:lpstr>
    </vt:vector>
  </TitlesOfParts>
  <Company>Royal Society Of Chemistry</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Electrolysis using microscale Hoffman apparatus - teacher notes</dc:title>
  <dc:subject>Use these teacher notes to conduct a class experiment using microscale Hoffman apparatus to investigate the electrolysis of sodium sulfate.</dc:subject>
  <dc:creator>Royal Society of Chemistry</dc:creator>
  <cp:keywords/>
  <dc:description/>
  <cp:lastModifiedBy>Chris Runciman</cp:lastModifiedBy>
  <cp:revision>14</cp:revision>
  <dcterms:created xsi:type="dcterms:W3CDTF">2021-05-06T11:59:00Z</dcterms:created>
  <dcterms:modified xsi:type="dcterms:W3CDTF">2021-06-29T09:22:00Z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