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6568" w14:textId="747874D6" w:rsidR="00D0546F" w:rsidRDefault="00184AE5" w:rsidP="00184AE5">
      <w:pPr>
        <w:pStyle w:val="Heading1"/>
        <w:tabs>
          <w:tab w:val="left" w:pos="1332"/>
        </w:tabs>
      </w:pPr>
      <w:r w:rsidRPr="00184AE5">
        <w:t>Oxygen and methylene blue</w:t>
      </w:r>
      <w:r>
        <w:t xml:space="preserve"> </w:t>
      </w:r>
      <w:r w:rsidR="00D511D8">
        <w:t xml:space="preserve">– </w:t>
      </w:r>
      <w:r w:rsidR="00D0546F">
        <w:t>teacher notes</w:t>
      </w:r>
    </w:p>
    <w:p w14:paraId="060EF319" w14:textId="6957E6C2" w:rsidR="00D0546F" w:rsidRDefault="00D0546F" w:rsidP="00D0546F">
      <w:pPr>
        <w:pStyle w:val="Heading2"/>
      </w:pPr>
      <w:r>
        <w:t>Topic</w:t>
      </w:r>
    </w:p>
    <w:p w14:paraId="66EC297C" w14:textId="02ED383C" w:rsidR="00D0546F" w:rsidRDefault="00184AE5" w:rsidP="00184AE5">
      <w:r>
        <w:t>Organic chemistry, redox reactions, dyes and colour chemistry.</w:t>
      </w:r>
    </w:p>
    <w:p w14:paraId="711EF8BF" w14:textId="0432C392" w:rsidR="00D0546F" w:rsidRDefault="00D0546F" w:rsidP="00D0546F">
      <w:pPr>
        <w:pStyle w:val="Heading2"/>
      </w:pPr>
      <w:r>
        <w:t>Timing</w:t>
      </w:r>
    </w:p>
    <w:p w14:paraId="2A857170" w14:textId="5A582505" w:rsidR="00D0546F" w:rsidRDefault="00184AE5" w:rsidP="00D0546F">
      <w:r>
        <w:t>15 minutes</w:t>
      </w:r>
    </w:p>
    <w:p w14:paraId="4911D0CC" w14:textId="1BC0E222" w:rsidR="00184AE5" w:rsidRDefault="00184AE5" w:rsidP="00184AE5">
      <w:pPr>
        <w:pStyle w:val="Heading2"/>
      </w:pPr>
      <w:r>
        <w:t xml:space="preserve">Description </w:t>
      </w:r>
    </w:p>
    <w:p w14:paraId="0291293B" w14:textId="4B83FFEB" w:rsidR="00184AE5" w:rsidRPr="00D0546F" w:rsidRDefault="00184AE5" w:rsidP="00184AE5">
      <w:r>
        <w:t>In this experiment students generate oxygen gas by the reaction between hydrogen peroxide and potassium manganate(VII), and then test for the gas by bubbling it into a solution of the reduced form of methylene blue dye, turning the solution blue.</w:t>
      </w:r>
    </w:p>
    <w:p w14:paraId="41311457" w14:textId="6E667520" w:rsidR="00D0546F" w:rsidRDefault="00D0546F" w:rsidP="00D0546F">
      <w:pPr>
        <w:pStyle w:val="Heading2"/>
      </w:pPr>
      <w:r>
        <w:t>Apparatus</w:t>
      </w:r>
    </w:p>
    <w:p w14:paraId="7122E965" w14:textId="77777777" w:rsidR="00184AE5" w:rsidRPr="00184AE5" w:rsidRDefault="00184AE5" w:rsidP="00184AE5">
      <w:pPr>
        <w:pStyle w:val="ListParagraph"/>
        <w:numPr>
          <w:ilvl w:val="0"/>
          <w:numId w:val="19"/>
        </w:numPr>
      </w:pPr>
      <w:r w:rsidRPr="00184AE5">
        <w:t>Eye protection</w:t>
      </w:r>
    </w:p>
    <w:p w14:paraId="6360B5E9" w14:textId="77777777" w:rsidR="00184AE5" w:rsidRPr="00184AE5" w:rsidRDefault="00184AE5" w:rsidP="00184AE5">
      <w:pPr>
        <w:pStyle w:val="ListParagraph"/>
        <w:numPr>
          <w:ilvl w:val="0"/>
          <w:numId w:val="19"/>
        </w:numPr>
      </w:pPr>
      <w:r w:rsidRPr="00184AE5">
        <w:t>Student worksheet</w:t>
      </w:r>
    </w:p>
    <w:p w14:paraId="102F8CFB" w14:textId="466F4288" w:rsidR="00184AE5" w:rsidRPr="00184AE5" w:rsidRDefault="00184AE5" w:rsidP="00184AE5">
      <w:pPr>
        <w:pStyle w:val="ListParagraph"/>
        <w:numPr>
          <w:ilvl w:val="0"/>
          <w:numId w:val="19"/>
        </w:numPr>
      </w:pPr>
      <w:r w:rsidRPr="00184AE5">
        <w:t>Beaker</w:t>
      </w:r>
      <w:r w:rsidR="000067EB">
        <w:t>,</w:t>
      </w:r>
      <w:r w:rsidRPr="00184AE5">
        <w:t xml:space="preserve"> 10 cm</w:t>
      </w:r>
      <w:r w:rsidRPr="00184AE5">
        <w:rPr>
          <w:vertAlign w:val="superscript"/>
        </w:rPr>
        <w:t>3</w:t>
      </w:r>
    </w:p>
    <w:p w14:paraId="0B402ACA" w14:textId="77777777" w:rsidR="00184AE5" w:rsidRPr="00184AE5" w:rsidRDefault="00184AE5" w:rsidP="00184AE5">
      <w:pPr>
        <w:pStyle w:val="ListParagraph"/>
        <w:numPr>
          <w:ilvl w:val="0"/>
          <w:numId w:val="19"/>
        </w:numPr>
      </w:pPr>
      <w:r w:rsidRPr="00184AE5">
        <w:t>Plastic pipette (standard form)</w:t>
      </w:r>
    </w:p>
    <w:p w14:paraId="37B6444D" w14:textId="77777777" w:rsidR="00184AE5" w:rsidRPr="00184AE5" w:rsidRDefault="00184AE5" w:rsidP="00184AE5">
      <w:pPr>
        <w:pStyle w:val="ListParagraph"/>
        <w:numPr>
          <w:ilvl w:val="0"/>
          <w:numId w:val="19"/>
        </w:numPr>
      </w:pPr>
      <w:r w:rsidRPr="00184AE5">
        <w:t>Piece of rubber tubing, </w:t>
      </w:r>
      <w:r w:rsidRPr="00184AE5">
        <w:rPr>
          <w:i/>
          <w:iCs/>
        </w:rPr>
        <w:t>ca</w:t>
      </w:r>
      <w:r w:rsidRPr="00184AE5">
        <w:t> 10 cm long</w:t>
      </w:r>
    </w:p>
    <w:p w14:paraId="069A545C" w14:textId="0754031A" w:rsidR="00D0546F" w:rsidRPr="00184AE5" w:rsidRDefault="00184AE5" w:rsidP="00184AE5">
      <w:pPr>
        <w:pStyle w:val="ListParagraph"/>
        <w:numPr>
          <w:ilvl w:val="0"/>
          <w:numId w:val="19"/>
        </w:numPr>
      </w:pPr>
      <w:r w:rsidRPr="00184AE5">
        <w:t>Scissors</w:t>
      </w:r>
    </w:p>
    <w:p w14:paraId="2E68FD97" w14:textId="0EC6E05B" w:rsidR="00D0546F" w:rsidRDefault="00D0546F" w:rsidP="00D0546F">
      <w:pPr>
        <w:pStyle w:val="Heading2"/>
      </w:pPr>
      <w:r>
        <w:t>Chemicals</w:t>
      </w:r>
    </w:p>
    <w:p w14:paraId="47A5E5CB" w14:textId="70B069B6" w:rsidR="00184AE5" w:rsidRDefault="00184AE5" w:rsidP="00184AE5">
      <w:r w:rsidRPr="00184AE5">
        <w:t>Solutions should be contained in plastic pipettes. See the accompanying guidance on apparatus and techniques for microscale chemistry, which includes instructions for preparing a variety of solutions</w:t>
      </w:r>
      <w:r>
        <w:t xml:space="preserve"> here </w:t>
      </w:r>
      <w:hyperlink r:id="rId11" w:history="1">
        <w:r w:rsidRPr="00B35191">
          <w:rPr>
            <w:rStyle w:val="Hyperlink"/>
          </w:rPr>
          <w:t>https://rsc.li/3UUjNSf</w:t>
        </w:r>
      </w:hyperlink>
      <w:r>
        <w:t xml:space="preserve"> </w:t>
      </w:r>
    </w:p>
    <w:p w14:paraId="537AADAA" w14:textId="77777777" w:rsidR="00184AE5" w:rsidRPr="00184AE5" w:rsidRDefault="00184AE5" w:rsidP="00184AE5"/>
    <w:p w14:paraId="426D81F9" w14:textId="77777777" w:rsidR="00184AE5" w:rsidRPr="00184AE5" w:rsidRDefault="00184AE5" w:rsidP="00184AE5">
      <w:pPr>
        <w:pStyle w:val="ListParagraph"/>
        <w:numPr>
          <w:ilvl w:val="0"/>
          <w:numId w:val="21"/>
        </w:numPr>
      </w:pPr>
      <w:r w:rsidRPr="00184AE5">
        <w:t>Hydrogen peroxide 5% solution</w:t>
      </w:r>
    </w:p>
    <w:p w14:paraId="7E201681" w14:textId="77777777" w:rsidR="00184AE5" w:rsidRPr="00184AE5" w:rsidRDefault="00184AE5" w:rsidP="00184AE5">
      <w:pPr>
        <w:pStyle w:val="ListParagraph"/>
        <w:numPr>
          <w:ilvl w:val="0"/>
          <w:numId w:val="21"/>
        </w:numPr>
      </w:pPr>
      <w:r w:rsidRPr="00184AE5">
        <w:t>Potassium manganate(VII), 0.1 mol dm</w:t>
      </w:r>
      <w:r w:rsidRPr="00184AE5">
        <w:rPr>
          <w:vertAlign w:val="superscript"/>
        </w:rPr>
        <w:t>–3</w:t>
      </w:r>
    </w:p>
    <w:p w14:paraId="300C4608" w14:textId="77777777" w:rsidR="00184AE5" w:rsidRPr="00184AE5" w:rsidRDefault="00184AE5" w:rsidP="00184AE5">
      <w:pPr>
        <w:pStyle w:val="ListParagraph"/>
        <w:numPr>
          <w:ilvl w:val="0"/>
          <w:numId w:val="21"/>
        </w:numPr>
      </w:pPr>
      <w:r w:rsidRPr="00184AE5">
        <w:t xml:space="preserve">Methylene blue solution (colourless, </w:t>
      </w:r>
      <w:proofErr w:type="spellStart"/>
      <w:r w:rsidRPr="00184AE5">
        <w:t>leuco</w:t>
      </w:r>
      <w:proofErr w:type="spellEnd"/>
      <w:r w:rsidRPr="00184AE5">
        <w:t xml:space="preserve"> form of dye)</w:t>
      </w:r>
    </w:p>
    <w:p w14:paraId="61E75B6C" w14:textId="770AFE19" w:rsidR="00184AE5" w:rsidRDefault="00184AE5" w:rsidP="00184AE5">
      <w:pPr>
        <w:pStyle w:val="ListParagraph"/>
        <w:numPr>
          <w:ilvl w:val="0"/>
          <w:numId w:val="21"/>
        </w:numPr>
      </w:pPr>
      <w:r w:rsidRPr="00184AE5">
        <w:t>Glucose</w:t>
      </w:r>
    </w:p>
    <w:p w14:paraId="0C2D18E1" w14:textId="18008058" w:rsidR="00D0546F" w:rsidRPr="00D0546F" w:rsidRDefault="004E0D1B" w:rsidP="004E0D1B">
      <w:pPr>
        <w:pStyle w:val="Heading2"/>
      </w:pPr>
      <w:r>
        <w:t>Observations</w:t>
      </w:r>
    </w:p>
    <w:p w14:paraId="4D906513" w14:textId="488D0535" w:rsidR="00184AE5" w:rsidRDefault="00184AE5" w:rsidP="00184AE5">
      <w:r w:rsidRPr="00184AE5">
        <w:t>This experiment is a little tricky to perform and students will need to practice it first! The hydrogen peroxide and potassium manganate(VII) react together vigorously to produce oxygen gas.</w:t>
      </w:r>
    </w:p>
    <w:p w14:paraId="650DA83B" w14:textId="77777777" w:rsidR="000067EB" w:rsidRPr="00184AE5" w:rsidRDefault="000067EB" w:rsidP="00184AE5"/>
    <w:p w14:paraId="378261CB" w14:textId="57FBD871" w:rsidR="00184AE5" w:rsidRDefault="00184AE5" w:rsidP="00184AE5">
      <w:r w:rsidRPr="00184AE5">
        <w:t>The colourless solution of methylene blue should turn blue quickly when the oxygen gas is directed into it. Students are given the structures of the oxidised and reduced forms of methylene blue and are asked to say which is which.</w:t>
      </w:r>
    </w:p>
    <w:p w14:paraId="73AB4E4D" w14:textId="77777777" w:rsidR="000067EB" w:rsidRPr="00184AE5" w:rsidRDefault="000067EB" w:rsidP="00184AE5"/>
    <w:p w14:paraId="30454DD1" w14:textId="00C373AC" w:rsidR="005678CE" w:rsidRDefault="00184AE5" w:rsidP="00184AE5">
      <w:r w:rsidRPr="00184AE5">
        <w:t>The oxidised (blue) form contains conjugated double and single bonds throughout the whole molecule, whereas in the colourless form the delocalised electron systems are isolated from each other. The structures are given below.</w:t>
      </w:r>
    </w:p>
    <w:p w14:paraId="653936D8" w14:textId="3326603F" w:rsidR="00184AE5" w:rsidRPr="00184AE5" w:rsidRDefault="00184AE5" w:rsidP="00184AE5">
      <w:r>
        <w:rPr>
          <w:noProof/>
        </w:rPr>
        <w:lastRenderedPageBreak/>
        <w:drawing>
          <wp:inline distT="0" distB="0" distL="0" distR="0" wp14:anchorId="6247313E" wp14:editId="562CA1D9">
            <wp:extent cx="5731510" cy="5128260"/>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5128260"/>
                    </a:xfrm>
                    <a:prstGeom prst="rect">
                      <a:avLst/>
                    </a:prstGeom>
                  </pic:spPr>
                </pic:pic>
              </a:graphicData>
            </a:graphic>
          </wp:inline>
        </w:drawing>
      </w:r>
    </w:p>
    <w:p w14:paraId="14173BA7" w14:textId="77777777" w:rsidR="00184AE5" w:rsidRDefault="00184AE5" w:rsidP="00D511D8">
      <w:pPr>
        <w:pStyle w:val="Heading2"/>
      </w:pPr>
    </w:p>
    <w:p w14:paraId="0F8ADE65" w14:textId="37593590" w:rsidR="000067EB" w:rsidRDefault="000067EB" w:rsidP="00D511D8">
      <w:pPr>
        <w:pStyle w:val="Heading2"/>
      </w:pPr>
      <w:r>
        <w:t>Notes</w:t>
      </w:r>
    </w:p>
    <w:p w14:paraId="6E5F24FC" w14:textId="2E1C4151" w:rsidR="000067EB" w:rsidRPr="00184AE5" w:rsidRDefault="000067EB" w:rsidP="000067EB">
      <w:r w:rsidRPr="00184AE5">
        <w:t>Dissolve 4 g of potassium hydroxide pellets in 150 cm</w:t>
      </w:r>
      <w:r w:rsidRPr="001C220F">
        <w:rPr>
          <w:vertAlign w:val="superscript"/>
        </w:rPr>
        <w:t>3</w:t>
      </w:r>
      <w:r w:rsidRPr="00184AE5">
        <w:t xml:space="preserve"> of deionised water in a plastic bottle or stoppered 250 cm</w:t>
      </w:r>
      <w:r w:rsidRPr="001C220F">
        <w:rPr>
          <w:vertAlign w:val="superscript"/>
        </w:rPr>
        <w:t>3</w:t>
      </w:r>
      <w:r w:rsidRPr="00184AE5">
        <w:t xml:space="preserve"> conical flask. Allow to cool and add 5 g of glucose powder. Add 3–4 drops of methylene blue solution (0.25 g in 1000 cm</w:t>
      </w:r>
      <w:r w:rsidRPr="001C220F">
        <w:rPr>
          <w:vertAlign w:val="superscript"/>
        </w:rPr>
        <w:t>3</w:t>
      </w:r>
      <w:r w:rsidRPr="00184AE5">
        <w:t xml:space="preserve"> of deionised water or Aldrich cat. no. 31,911-2). The blue solution should become colourless on standing a few </w:t>
      </w:r>
      <w:r w:rsidR="002F3690" w:rsidRPr="00184AE5">
        <w:t>minutes, but</w:t>
      </w:r>
      <w:r w:rsidRPr="00184AE5">
        <w:t xml:space="preserve"> will turn blue when shaken.</w:t>
      </w:r>
    </w:p>
    <w:p w14:paraId="0E1C208A" w14:textId="0DE7C55B" w:rsidR="00D511D8" w:rsidRDefault="00D511D8" w:rsidP="00D511D8">
      <w:pPr>
        <w:pStyle w:val="Heading2"/>
      </w:pPr>
      <w:r>
        <w:t>Health</w:t>
      </w:r>
      <w:r w:rsidR="00D0546F">
        <w:t xml:space="preserve">, </w:t>
      </w:r>
      <w:r>
        <w:t>safety</w:t>
      </w:r>
      <w:r w:rsidR="00D0546F">
        <w:t xml:space="preserve"> and technical notes</w:t>
      </w:r>
    </w:p>
    <w:p w14:paraId="5517DD9B" w14:textId="77777777" w:rsidR="00FD7D9D" w:rsidRPr="00FD7D9D" w:rsidRDefault="00FD7D9D" w:rsidP="00FD7D9D"/>
    <w:p w14:paraId="71EBDFA6" w14:textId="7B6AE82C" w:rsidR="002F3690" w:rsidRDefault="002F3690" w:rsidP="00184AE5">
      <w:pPr>
        <w:pStyle w:val="ListParagraph"/>
        <w:numPr>
          <w:ilvl w:val="0"/>
          <w:numId w:val="23"/>
        </w:numPr>
      </w:pPr>
      <w:r w:rsidRPr="002F3690">
        <w:t>Wear eye protection throughout (splash-resistant goggles to BS EN166 3)</w:t>
      </w:r>
      <w:r>
        <w:t>.</w:t>
      </w:r>
    </w:p>
    <w:p w14:paraId="36454C79" w14:textId="531ACE75" w:rsidR="00184AE5" w:rsidRPr="00184AE5" w:rsidRDefault="00184AE5" w:rsidP="00184AE5">
      <w:pPr>
        <w:pStyle w:val="ListParagraph"/>
        <w:numPr>
          <w:ilvl w:val="0"/>
          <w:numId w:val="23"/>
        </w:numPr>
      </w:pPr>
      <w:r w:rsidRPr="00184AE5">
        <w:t>Glucose / methylene blue / sodium hydroxide solution is corrosive</w:t>
      </w:r>
      <w:r w:rsidR="000067EB">
        <w:t>,</w:t>
      </w:r>
      <w:r w:rsidRPr="00184AE5">
        <w:t xml:space="preserve"> goggles (to BS EN166 3) should be worn. Reducing the concentration to below 0.5 mol dm</w:t>
      </w:r>
      <w:r w:rsidRPr="00184AE5">
        <w:rPr>
          <w:vertAlign w:val="superscript"/>
        </w:rPr>
        <w:t>-3</w:t>
      </w:r>
      <w:r w:rsidRPr="00184AE5">
        <w:t xml:space="preserve"> will mean it is merely an irritant and will still work (see CLEAPSS </w:t>
      </w:r>
      <w:proofErr w:type="spellStart"/>
      <w:r w:rsidRPr="00184AE5">
        <w:t>Hazcard</w:t>
      </w:r>
      <w:proofErr w:type="spellEnd"/>
      <w:r w:rsidRPr="00184AE5">
        <w:t> </w:t>
      </w:r>
      <w:hyperlink r:id="rId13" w:history="1">
        <w:r w:rsidRPr="00184AE5">
          <w:rPr>
            <w:rStyle w:val="Hyperlink"/>
          </w:rPr>
          <w:t>HC040c</w:t>
        </w:r>
      </w:hyperlink>
      <w:r w:rsidRPr="00184AE5">
        <w:t>, </w:t>
      </w:r>
      <w:hyperlink r:id="rId14" w:history="1">
        <w:r w:rsidRPr="00184AE5">
          <w:rPr>
            <w:rStyle w:val="Hyperlink"/>
          </w:rPr>
          <w:t>HC032</w:t>
        </w:r>
      </w:hyperlink>
      <w:r w:rsidRPr="00184AE5">
        <w:t>).</w:t>
      </w:r>
    </w:p>
    <w:p w14:paraId="1B9380A5" w14:textId="77777777" w:rsidR="00184AE5" w:rsidRPr="00184AE5" w:rsidRDefault="00184AE5" w:rsidP="00184AE5">
      <w:pPr>
        <w:pStyle w:val="ListParagraph"/>
        <w:numPr>
          <w:ilvl w:val="0"/>
          <w:numId w:val="23"/>
        </w:numPr>
      </w:pPr>
      <w:r w:rsidRPr="00184AE5">
        <w:t xml:space="preserve">Sodium hydroxide itself is highly corrosive, if students are making up their own solutions (see CLEAPSS </w:t>
      </w:r>
      <w:proofErr w:type="spellStart"/>
      <w:r w:rsidRPr="00184AE5">
        <w:t>Hazcard</w:t>
      </w:r>
      <w:proofErr w:type="spellEnd"/>
      <w:r w:rsidRPr="00184AE5">
        <w:t> </w:t>
      </w:r>
      <w:hyperlink r:id="rId15" w:history="1">
        <w:r w:rsidRPr="00184AE5">
          <w:rPr>
            <w:rStyle w:val="Hyperlink"/>
          </w:rPr>
          <w:t>HC091a</w:t>
        </w:r>
      </w:hyperlink>
      <w:r w:rsidRPr="00184AE5">
        <w:t>).</w:t>
      </w:r>
    </w:p>
    <w:p w14:paraId="04BB06BF" w14:textId="77777777" w:rsidR="00184AE5" w:rsidRPr="00184AE5" w:rsidRDefault="00184AE5" w:rsidP="00184AE5">
      <w:pPr>
        <w:pStyle w:val="ListParagraph"/>
        <w:numPr>
          <w:ilvl w:val="0"/>
          <w:numId w:val="23"/>
        </w:numPr>
      </w:pPr>
      <w:r w:rsidRPr="00184AE5">
        <w:lastRenderedPageBreak/>
        <w:t>Hydrogen peroxide, 5% solution H</w:t>
      </w:r>
      <w:r w:rsidRPr="00184AE5">
        <w:rPr>
          <w:vertAlign w:val="subscript"/>
        </w:rPr>
        <w:t>2</w:t>
      </w:r>
      <w:r w:rsidRPr="00184AE5">
        <w:t>O</w:t>
      </w:r>
      <w:r w:rsidRPr="00184AE5">
        <w:rPr>
          <w:vertAlign w:val="subscript"/>
        </w:rPr>
        <w:t>2</w:t>
      </w:r>
      <w:r w:rsidRPr="00184AE5">
        <w:t>(</w:t>
      </w:r>
      <w:proofErr w:type="spellStart"/>
      <w:r w:rsidRPr="00184AE5">
        <w:t>aq</w:t>
      </w:r>
      <w:proofErr w:type="spellEnd"/>
      <w:r w:rsidRPr="00184AE5">
        <w:t>) and potassium manganate(VII), KMnO</w:t>
      </w:r>
      <w:r w:rsidRPr="00184AE5">
        <w:rPr>
          <w:vertAlign w:val="subscript"/>
        </w:rPr>
        <w:t>4</w:t>
      </w:r>
      <w:r w:rsidRPr="00184AE5">
        <w:t>(</w:t>
      </w:r>
      <w:proofErr w:type="spellStart"/>
      <w:r w:rsidRPr="00184AE5">
        <w:t>aq</w:t>
      </w:r>
      <w:proofErr w:type="spellEnd"/>
      <w:r w:rsidRPr="00184AE5">
        <w:t>), 0.1 mol dm</w:t>
      </w:r>
      <w:r w:rsidRPr="00184AE5">
        <w:rPr>
          <w:vertAlign w:val="superscript"/>
        </w:rPr>
        <w:t>–3</w:t>
      </w:r>
      <w:r w:rsidRPr="00184AE5">
        <w:t xml:space="preserve"> are of low hazard (see CLEAPSS </w:t>
      </w:r>
      <w:proofErr w:type="spellStart"/>
      <w:r w:rsidRPr="00184AE5">
        <w:t>Hazcard</w:t>
      </w:r>
      <w:proofErr w:type="spellEnd"/>
      <w:r w:rsidRPr="00184AE5">
        <w:t> </w:t>
      </w:r>
      <w:hyperlink r:id="rId16" w:history="1">
        <w:r w:rsidRPr="00184AE5">
          <w:rPr>
            <w:rStyle w:val="Hyperlink"/>
          </w:rPr>
          <w:t>HC050</w:t>
        </w:r>
      </w:hyperlink>
      <w:r w:rsidRPr="00184AE5">
        <w:t>, </w:t>
      </w:r>
      <w:hyperlink r:id="rId17" w:history="1">
        <w:r w:rsidRPr="00184AE5">
          <w:rPr>
            <w:rStyle w:val="Hyperlink"/>
          </w:rPr>
          <w:t>HC081</w:t>
        </w:r>
      </w:hyperlink>
      <w:r w:rsidRPr="00184AE5">
        <w:t>).</w:t>
      </w:r>
    </w:p>
    <w:p w14:paraId="243EB354" w14:textId="41D2C273" w:rsidR="00D0546F" w:rsidRPr="00184AE5" w:rsidRDefault="00184AE5" w:rsidP="00184AE5">
      <w:pPr>
        <w:pStyle w:val="ListParagraph"/>
        <w:numPr>
          <w:ilvl w:val="0"/>
          <w:numId w:val="23"/>
        </w:numPr>
      </w:pPr>
      <w:r w:rsidRPr="00184AE5">
        <w:t xml:space="preserve">Using less (2.4g) of potassium hydroxide will mean the solution is irritant rather than corrosive, and pupils can just use safety glasses (see CLEAPSS </w:t>
      </w:r>
      <w:proofErr w:type="spellStart"/>
      <w:r w:rsidRPr="00184AE5">
        <w:t>Hazcard</w:t>
      </w:r>
      <w:proofErr w:type="spellEnd"/>
      <w:r w:rsidRPr="00184AE5">
        <w:t> </w:t>
      </w:r>
      <w:hyperlink r:id="rId18" w:history="1">
        <w:r w:rsidRPr="00184AE5">
          <w:rPr>
            <w:rStyle w:val="Hyperlink"/>
          </w:rPr>
          <w:t>HC091b</w:t>
        </w:r>
      </w:hyperlink>
      <w:r w:rsidRPr="00184AE5">
        <w:t>).</w:t>
      </w:r>
    </w:p>
    <w:sectPr w:rsidR="00D0546F" w:rsidRPr="00184AE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D2E69" w14:textId="77777777" w:rsidR="00FB0CA6" w:rsidRDefault="00FB0CA6" w:rsidP="00883634">
      <w:pPr>
        <w:spacing w:line="240" w:lineRule="auto"/>
      </w:pPr>
      <w:r>
        <w:separator/>
      </w:r>
    </w:p>
  </w:endnote>
  <w:endnote w:type="continuationSeparator" w:id="0">
    <w:p w14:paraId="64473D03" w14:textId="77777777" w:rsidR="00FB0CA6" w:rsidRDefault="00FB0CA6"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2006C37D"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184AE5" w:rsidRPr="00B35191">
        <w:rPr>
          <w:rStyle w:val="Hyperlink"/>
          <w:sz w:val="16"/>
          <w:szCs w:val="16"/>
        </w:rPr>
        <w:t>https://rsc.li/3CpHTx0</w:t>
      </w:r>
    </w:hyperlink>
    <w:r w:rsidR="00184AE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41E6" w14:textId="77777777" w:rsidR="00FB0CA6" w:rsidRDefault="00FB0CA6" w:rsidP="00883634">
      <w:pPr>
        <w:spacing w:line="240" w:lineRule="auto"/>
      </w:pPr>
      <w:r>
        <w:separator/>
      </w:r>
    </w:p>
  </w:footnote>
  <w:footnote w:type="continuationSeparator" w:id="0">
    <w:p w14:paraId="2E57A88E" w14:textId="77777777" w:rsidR="00FB0CA6" w:rsidRDefault="00FB0CA6"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D3E53"/>
    <w:multiLevelType w:val="hybridMultilevel"/>
    <w:tmpl w:val="5D30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B3DE7"/>
    <w:multiLevelType w:val="multilevel"/>
    <w:tmpl w:val="FDF2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B6E6A"/>
    <w:multiLevelType w:val="multilevel"/>
    <w:tmpl w:val="5942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E1D5A"/>
    <w:multiLevelType w:val="hybridMultilevel"/>
    <w:tmpl w:val="7E5E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275A49"/>
    <w:multiLevelType w:val="hybridMultilevel"/>
    <w:tmpl w:val="C7FC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6C6044"/>
    <w:multiLevelType w:val="multilevel"/>
    <w:tmpl w:val="D3CC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174194">
    <w:abstractNumId w:val="1"/>
  </w:num>
  <w:num w:numId="2" w16cid:durableId="88743033">
    <w:abstractNumId w:val="20"/>
  </w:num>
  <w:num w:numId="3" w16cid:durableId="1849251440">
    <w:abstractNumId w:val="9"/>
  </w:num>
  <w:num w:numId="4" w16cid:durableId="479159189">
    <w:abstractNumId w:val="14"/>
  </w:num>
  <w:num w:numId="5" w16cid:durableId="1609701264">
    <w:abstractNumId w:val="21"/>
  </w:num>
  <w:num w:numId="6" w16cid:durableId="474832268">
    <w:abstractNumId w:val="2"/>
  </w:num>
  <w:num w:numId="7" w16cid:durableId="1085490680">
    <w:abstractNumId w:val="15"/>
  </w:num>
  <w:num w:numId="8" w16cid:durableId="1592737727">
    <w:abstractNumId w:val="12"/>
  </w:num>
  <w:num w:numId="9" w16cid:durableId="1058818439">
    <w:abstractNumId w:val="0"/>
  </w:num>
  <w:num w:numId="10" w16cid:durableId="2117944634">
    <w:abstractNumId w:val="4"/>
  </w:num>
  <w:num w:numId="11" w16cid:durableId="387801795">
    <w:abstractNumId w:val="10"/>
  </w:num>
  <w:num w:numId="12" w16cid:durableId="2032951041">
    <w:abstractNumId w:val="8"/>
  </w:num>
  <w:num w:numId="13" w16cid:durableId="213011510">
    <w:abstractNumId w:val="19"/>
  </w:num>
  <w:num w:numId="14" w16cid:durableId="2004699187">
    <w:abstractNumId w:val="22"/>
  </w:num>
  <w:num w:numId="15" w16cid:durableId="775104746">
    <w:abstractNumId w:val="11"/>
  </w:num>
  <w:num w:numId="16" w16cid:durableId="647441634">
    <w:abstractNumId w:val="17"/>
  </w:num>
  <w:num w:numId="17" w16cid:durableId="851183205">
    <w:abstractNumId w:val="13"/>
  </w:num>
  <w:num w:numId="18" w16cid:durableId="62920585">
    <w:abstractNumId w:val="6"/>
  </w:num>
  <w:num w:numId="19" w16cid:durableId="1631747417">
    <w:abstractNumId w:val="7"/>
  </w:num>
  <w:num w:numId="20" w16cid:durableId="836071698">
    <w:abstractNumId w:val="5"/>
  </w:num>
  <w:num w:numId="21" w16cid:durableId="1307273563">
    <w:abstractNumId w:val="3"/>
  </w:num>
  <w:num w:numId="22" w16cid:durableId="1669290627">
    <w:abstractNumId w:val="18"/>
  </w:num>
  <w:num w:numId="23" w16cid:durableId="4171443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67EB"/>
    <w:rsid w:val="000259B8"/>
    <w:rsid w:val="0010594E"/>
    <w:rsid w:val="00107A74"/>
    <w:rsid w:val="00121D41"/>
    <w:rsid w:val="001524CD"/>
    <w:rsid w:val="0015353F"/>
    <w:rsid w:val="001546EA"/>
    <w:rsid w:val="001554E7"/>
    <w:rsid w:val="001637E5"/>
    <w:rsid w:val="00184AE5"/>
    <w:rsid w:val="00196E56"/>
    <w:rsid w:val="0019786D"/>
    <w:rsid w:val="001C220F"/>
    <w:rsid w:val="002479DD"/>
    <w:rsid w:val="002A179B"/>
    <w:rsid w:val="002E173F"/>
    <w:rsid w:val="002F3690"/>
    <w:rsid w:val="00315C09"/>
    <w:rsid w:val="00357DE0"/>
    <w:rsid w:val="00384C00"/>
    <w:rsid w:val="003F3444"/>
    <w:rsid w:val="00402AB6"/>
    <w:rsid w:val="00412A04"/>
    <w:rsid w:val="00452BAE"/>
    <w:rsid w:val="004D7222"/>
    <w:rsid w:val="004E0D1B"/>
    <w:rsid w:val="004F37DE"/>
    <w:rsid w:val="00530E52"/>
    <w:rsid w:val="005678CE"/>
    <w:rsid w:val="005E2D53"/>
    <w:rsid w:val="005E4E58"/>
    <w:rsid w:val="005F10C0"/>
    <w:rsid w:val="00623869"/>
    <w:rsid w:val="00683FBC"/>
    <w:rsid w:val="00695E32"/>
    <w:rsid w:val="006A7649"/>
    <w:rsid w:val="006B2D5F"/>
    <w:rsid w:val="006E6495"/>
    <w:rsid w:val="006F11C7"/>
    <w:rsid w:val="006F1D7B"/>
    <w:rsid w:val="007648CD"/>
    <w:rsid w:val="00795D31"/>
    <w:rsid w:val="007B29DA"/>
    <w:rsid w:val="007C5B2B"/>
    <w:rsid w:val="00801C93"/>
    <w:rsid w:val="00883634"/>
    <w:rsid w:val="00883CB8"/>
    <w:rsid w:val="008D2638"/>
    <w:rsid w:val="009055FB"/>
    <w:rsid w:val="00942589"/>
    <w:rsid w:val="00944467"/>
    <w:rsid w:val="009662E3"/>
    <w:rsid w:val="00975356"/>
    <w:rsid w:val="0097778A"/>
    <w:rsid w:val="009827C9"/>
    <w:rsid w:val="009A34C5"/>
    <w:rsid w:val="009A4E4D"/>
    <w:rsid w:val="009C28B0"/>
    <w:rsid w:val="009C6C7F"/>
    <w:rsid w:val="00AD3FFE"/>
    <w:rsid w:val="00B2046D"/>
    <w:rsid w:val="00B66980"/>
    <w:rsid w:val="00B76B6A"/>
    <w:rsid w:val="00B802D2"/>
    <w:rsid w:val="00B87E51"/>
    <w:rsid w:val="00BC5C4C"/>
    <w:rsid w:val="00BC7C98"/>
    <w:rsid w:val="00C0182D"/>
    <w:rsid w:val="00C11EC1"/>
    <w:rsid w:val="00C611F9"/>
    <w:rsid w:val="00CF5E46"/>
    <w:rsid w:val="00D0546F"/>
    <w:rsid w:val="00D12822"/>
    <w:rsid w:val="00D15C73"/>
    <w:rsid w:val="00D16ED5"/>
    <w:rsid w:val="00D32040"/>
    <w:rsid w:val="00D511D8"/>
    <w:rsid w:val="00DB7CF6"/>
    <w:rsid w:val="00DC4499"/>
    <w:rsid w:val="00E04D15"/>
    <w:rsid w:val="00E6281A"/>
    <w:rsid w:val="00E64520"/>
    <w:rsid w:val="00E81B12"/>
    <w:rsid w:val="00EA245E"/>
    <w:rsid w:val="00EE1EE1"/>
    <w:rsid w:val="00EE4ECC"/>
    <w:rsid w:val="00EE7B55"/>
    <w:rsid w:val="00F20AA7"/>
    <w:rsid w:val="00F36FC4"/>
    <w:rsid w:val="00F8362D"/>
    <w:rsid w:val="00F93ED9"/>
    <w:rsid w:val="00FB0CA6"/>
    <w:rsid w:val="00FB18F6"/>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character" w:styleId="Emphasis">
    <w:name w:val="Emphasis"/>
    <w:basedOn w:val="DefaultParagraphFont"/>
    <w:uiPriority w:val="20"/>
    <w:qFormat/>
    <w:rsid w:val="00184A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620649404">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567106234">
      <w:bodyDiv w:val="1"/>
      <w:marLeft w:val="0"/>
      <w:marRight w:val="0"/>
      <w:marTop w:val="0"/>
      <w:marBottom w:val="0"/>
      <w:divBdr>
        <w:top w:val="none" w:sz="0" w:space="0" w:color="auto"/>
        <w:left w:val="none" w:sz="0" w:space="0" w:color="auto"/>
        <w:bottom w:val="none" w:sz="0" w:space="0" w:color="auto"/>
        <w:right w:val="none" w:sz="0" w:space="0" w:color="auto"/>
      </w:divBdr>
    </w:div>
    <w:div w:id="1636132746">
      <w:bodyDiv w:val="1"/>
      <w:marLeft w:val="0"/>
      <w:marRight w:val="0"/>
      <w:marTop w:val="0"/>
      <w:marBottom w:val="0"/>
      <w:divBdr>
        <w:top w:val="none" w:sz="0" w:space="0" w:color="auto"/>
        <w:left w:val="none" w:sz="0" w:space="0" w:color="auto"/>
        <w:bottom w:val="none" w:sz="0" w:space="0" w:color="auto"/>
        <w:right w:val="none" w:sz="0" w:space="0" w:color="auto"/>
      </w:divBdr>
    </w:div>
    <w:div w:id="16367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cleapss.org.uk/Resource-Info/HC040c-Carbohydrates.aspx" TargetMode="External"/><Relationship Id="rId18" Type="http://schemas.openxmlformats.org/officeDocument/2006/relationships/hyperlink" Target="https://science.cleapss.org.uk/Resource-Info/HC091b-Lithium-and-potassium-hydroxide.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science.cleapss.org.uk/Resource-Info/HC081-Potassium-manganate-VII.aspx" TargetMode="External"/><Relationship Id="rId2" Type="http://schemas.openxmlformats.org/officeDocument/2006/relationships/customXml" Target="../customXml/item2.xml"/><Relationship Id="rId16" Type="http://schemas.openxmlformats.org/officeDocument/2006/relationships/hyperlink" Target="https://science.cleapss.org.uk/Resource-Info/HC050-Hydrogen-peroxid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UUjNSf" TargetMode="External"/><Relationship Id="rId5" Type="http://schemas.openxmlformats.org/officeDocument/2006/relationships/numbering" Target="numbering.xml"/><Relationship Id="rId15" Type="http://schemas.openxmlformats.org/officeDocument/2006/relationships/hyperlink" Target="https://science.cleapss.org.uk/Resource-Info/HC091a-Sodium-hydroxide.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leapss.org.uk/Resource-Info/HC032-Dyes-indicators-and-stains.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rsc.li/3CpHTx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3.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4.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Oxygen and methylene blue – teacher notes</vt:lpstr>
    </vt:vector>
  </TitlesOfParts>
  <Company>Royal Society Of Chemistry</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Oxygen and methylene blue – teacher notes</dc:title>
  <dc:subject>TBC</dc:subject>
  <dc:creator>Royal Society of Chemistry</dc:creator>
  <cp:keywords>RSC</cp:keywords>
  <dc:description>Test for oxygen gas produced from the reaction between hydrogen peroxide and potassium manganate (VII) using methylene blue solution. Includes kit list and safety instructions</dc:description>
  <cp:lastModifiedBy>Bobby Wells-Brown</cp:lastModifiedBy>
  <cp:revision>6</cp:revision>
  <cp:lastPrinted>2022-10-05T08:57:00Z</cp:lastPrinted>
  <dcterms:created xsi:type="dcterms:W3CDTF">2022-10-03T09:52:00Z</dcterms:created>
  <dcterms:modified xsi:type="dcterms:W3CDTF">2022-10-05T08:57:00Z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