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B4552C" w14:textId="26E8E9F5" w:rsidR="00D511D8" w:rsidRDefault="006933CC" w:rsidP="00D0546F">
      <w:pPr>
        <w:pStyle w:val="Heading1"/>
        <w:tabs>
          <w:tab w:val="left" w:pos="1332"/>
        </w:tabs>
      </w:pPr>
      <w:r w:rsidRPr="006933CC">
        <w:t>Redox chemistry with dichromate ions</w:t>
      </w:r>
      <w:r>
        <w:t xml:space="preserve"> </w:t>
      </w:r>
      <w:r w:rsidR="00D511D8">
        <w:t xml:space="preserve">– </w:t>
      </w:r>
      <w:r w:rsidR="00D0546F">
        <w:t>teacher notes</w:t>
      </w:r>
    </w:p>
    <w:p w14:paraId="49916568" w14:textId="14727569" w:rsidR="00D0546F" w:rsidRDefault="00D0546F" w:rsidP="00D0546F"/>
    <w:p w14:paraId="060EF319" w14:textId="6957E6C2" w:rsidR="00D0546F" w:rsidRDefault="00D0546F" w:rsidP="00D0546F">
      <w:pPr>
        <w:pStyle w:val="Heading2"/>
      </w:pPr>
      <w:r>
        <w:t>Topic</w:t>
      </w:r>
    </w:p>
    <w:p w14:paraId="66EC297C" w14:textId="5FB860EC" w:rsidR="00D0546F" w:rsidRDefault="006933CC" w:rsidP="00D0546F">
      <w:pPr>
        <w:pStyle w:val="Default"/>
      </w:pPr>
      <w:r>
        <w:t>Transition elements – colours of ions, redox reactions, variable oxidation states.</w:t>
      </w:r>
    </w:p>
    <w:p w14:paraId="711EF8BF" w14:textId="2580EB75" w:rsidR="00D0546F" w:rsidRDefault="00D0546F" w:rsidP="00D0546F">
      <w:pPr>
        <w:pStyle w:val="Heading2"/>
      </w:pPr>
      <w:r>
        <w:t>Timing</w:t>
      </w:r>
    </w:p>
    <w:p w14:paraId="5DD5AD43" w14:textId="43D54AB2" w:rsidR="00A21641" w:rsidRPr="00A21641" w:rsidRDefault="006933CC" w:rsidP="00A21641">
      <w:r>
        <w:t>5 minutes</w:t>
      </w:r>
    </w:p>
    <w:p w14:paraId="2A857170" w14:textId="39DA9F3C" w:rsidR="00D0546F" w:rsidRDefault="00A21641" w:rsidP="00A21641">
      <w:pPr>
        <w:pStyle w:val="Heading2"/>
      </w:pPr>
      <w:r>
        <w:t>Description</w:t>
      </w:r>
    </w:p>
    <w:p w14:paraId="131B9DC9" w14:textId="79A630E2" w:rsidR="00A21641" w:rsidRPr="00A21641" w:rsidRDefault="006933CC" w:rsidP="00A21641">
      <w:r>
        <w:t xml:space="preserve">In this experiment </w:t>
      </w:r>
      <w:proofErr w:type="gramStart"/>
      <w:r>
        <w:t>dichromate(</w:t>
      </w:r>
      <w:proofErr w:type="gramEnd"/>
      <w:r>
        <w:t>VI) ions are reduced to chromate(III) ions by hydrogen peroxide which is itself oxidised to oxygen gas. The experiment provides several points for student observation and illustrates an interesting redox reaction.</w:t>
      </w:r>
    </w:p>
    <w:p w14:paraId="41311457" w14:textId="6E667520" w:rsidR="00D0546F" w:rsidRDefault="00D0546F" w:rsidP="00D0546F">
      <w:pPr>
        <w:pStyle w:val="Heading2"/>
      </w:pPr>
      <w:r>
        <w:t>Apparatus</w:t>
      </w:r>
    </w:p>
    <w:p w14:paraId="72777C3E" w14:textId="77777777" w:rsidR="006933CC" w:rsidRPr="006933CC" w:rsidRDefault="006933CC" w:rsidP="006933CC">
      <w:pPr>
        <w:pStyle w:val="ListParagraph"/>
        <w:numPr>
          <w:ilvl w:val="0"/>
          <w:numId w:val="23"/>
        </w:numPr>
      </w:pPr>
      <w:r w:rsidRPr="006933CC">
        <w:t>Eye protection</w:t>
      </w:r>
    </w:p>
    <w:p w14:paraId="6CE63A2D" w14:textId="77777777" w:rsidR="006933CC" w:rsidRPr="006933CC" w:rsidRDefault="006933CC" w:rsidP="006933CC">
      <w:pPr>
        <w:pStyle w:val="ListParagraph"/>
        <w:numPr>
          <w:ilvl w:val="0"/>
          <w:numId w:val="23"/>
        </w:numPr>
      </w:pPr>
      <w:r w:rsidRPr="006933CC">
        <w:t>Student worksheet</w:t>
      </w:r>
    </w:p>
    <w:p w14:paraId="5752C0AA" w14:textId="77777777" w:rsidR="006933CC" w:rsidRPr="006933CC" w:rsidRDefault="006933CC" w:rsidP="006933CC">
      <w:pPr>
        <w:pStyle w:val="ListParagraph"/>
        <w:numPr>
          <w:ilvl w:val="0"/>
          <w:numId w:val="23"/>
        </w:numPr>
      </w:pPr>
      <w:r w:rsidRPr="006933CC">
        <w:t>Clear plastic sheet (</w:t>
      </w:r>
      <w:proofErr w:type="gramStart"/>
      <w:r w:rsidRPr="006933CC">
        <w:t>eg</w:t>
      </w:r>
      <w:proofErr w:type="gramEnd"/>
      <w:r w:rsidRPr="006933CC">
        <w:t xml:space="preserve"> OHP sheet)</w:t>
      </w:r>
    </w:p>
    <w:p w14:paraId="069A545C" w14:textId="69A307A4" w:rsidR="00D0546F" w:rsidRDefault="00D0546F" w:rsidP="00D0546F">
      <w:pPr>
        <w:pStyle w:val="Default"/>
        <w:rPr>
          <w:sz w:val="20"/>
          <w:szCs w:val="20"/>
        </w:rPr>
      </w:pPr>
    </w:p>
    <w:p w14:paraId="2E68FD97" w14:textId="49C8BA26" w:rsidR="00D0546F" w:rsidRDefault="00D0546F" w:rsidP="00D0546F">
      <w:pPr>
        <w:pStyle w:val="Heading2"/>
      </w:pPr>
      <w:r>
        <w:t>Chemicals</w:t>
      </w:r>
    </w:p>
    <w:p w14:paraId="1F2CDBEB" w14:textId="35AB04EF" w:rsidR="006933CC" w:rsidRPr="00DA6D46" w:rsidRDefault="006933CC" w:rsidP="006933CC">
      <w:r w:rsidRPr="00DA6D46">
        <w:t>Solutions should be contained in plastic pipettes. See the accompanying guidance on </w:t>
      </w:r>
      <w:r w:rsidRPr="006933CC">
        <w:t>apparatus and techniques for microscale chemistry</w:t>
      </w:r>
      <w:r w:rsidRPr="00DA6D46">
        <w:t>, which includes instructions for preparing a variety of solutions</w:t>
      </w:r>
      <w:r>
        <w:t xml:space="preserve"> here </w:t>
      </w:r>
      <w:hyperlink r:id="rId11" w:history="1">
        <w:r w:rsidRPr="004550B0">
          <w:rPr>
            <w:rStyle w:val="Hyperlink"/>
          </w:rPr>
          <w:t>https://rsc.li/3T17hyt</w:t>
        </w:r>
      </w:hyperlink>
      <w:r>
        <w:t xml:space="preserve"> </w:t>
      </w:r>
    </w:p>
    <w:p w14:paraId="349A1CAC" w14:textId="77777777" w:rsidR="006933CC" w:rsidRPr="006933CC" w:rsidRDefault="006933CC" w:rsidP="006933CC"/>
    <w:p w14:paraId="24A67A6C" w14:textId="77777777" w:rsidR="006933CC" w:rsidRPr="006933CC" w:rsidRDefault="006933CC" w:rsidP="006933CC">
      <w:pPr>
        <w:pStyle w:val="ListParagraph"/>
        <w:numPr>
          <w:ilvl w:val="0"/>
          <w:numId w:val="22"/>
        </w:numPr>
      </w:pPr>
      <w:r w:rsidRPr="006933CC">
        <w:t>Potassium dichromate 0.2 mol dm</w:t>
      </w:r>
      <w:r w:rsidRPr="006933CC">
        <w:rPr>
          <w:vertAlign w:val="superscript"/>
        </w:rPr>
        <w:t>–3</w:t>
      </w:r>
    </w:p>
    <w:p w14:paraId="522838EB" w14:textId="5C9B3839" w:rsidR="004E0D1B" w:rsidRPr="006933CC" w:rsidRDefault="006933CC" w:rsidP="006933CC">
      <w:pPr>
        <w:pStyle w:val="ListParagraph"/>
        <w:numPr>
          <w:ilvl w:val="0"/>
          <w:numId w:val="22"/>
        </w:numPr>
      </w:pPr>
      <w:r w:rsidRPr="006933CC">
        <w:t>Hydrogen peroxide 5% solution</w:t>
      </w:r>
    </w:p>
    <w:p w14:paraId="0C2D18E1" w14:textId="18008058" w:rsidR="00D0546F" w:rsidRPr="00D0546F" w:rsidRDefault="004E0D1B" w:rsidP="004E0D1B">
      <w:pPr>
        <w:pStyle w:val="Heading2"/>
      </w:pPr>
      <w:r>
        <w:t>Observations</w:t>
      </w:r>
    </w:p>
    <w:p w14:paraId="098C722D" w14:textId="77777777" w:rsidR="006933CC" w:rsidRPr="006933CC" w:rsidRDefault="006933CC" w:rsidP="006933CC">
      <w:r w:rsidRPr="006933CC">
        <w:t>On adding the hydrogen peroxide solution, the reaction mixture immediately turns a deep blue colour.</w:t>
      </w:r>
    </w:p>
    <w:p w14:paraId="6C04E291" w14:textId="77777777" w:rsidR="006933CC" w:rsidRPr="006933CC" w:rsidRDefault="006933CC" w:rsidP="006933CC">
      <w:r w:rsidRPr="006933CC">
        <w:t xml:space="preserve">After a while bubbles are seen and the colour gradually fades to a pale blue-green due to hexa-aqua </w:t>
      </w:r>
      <w:proofErr w:type="gramStart"/>
      <w:r w:rsidRPr="006933CC">
        <w:t>chromium(</w:t>
      </w:r>
      <w:proofErr w:type="gramEnd"/>
      <w:r w:rsidRPr="006933CC">
        <w:t>III) ions.</w:t>
      </w:r>
    </w:p>
    <w:p w14:paraId="1274B3B0" w14:textId="4FC7B072" w:rsidR="006933CC" w:rsidRPr="006933CC" w:rsidRDefault="006933CC" w:rsidP="006933CC">
      <w:r w:rsidRPr="006933CC">
        <w:t>The reaction is: Cr</w:t>
      </w:r>
      <w:r w:rsidRPr="006933CC">
        <w:rPr>
          <w:vertAlign w:val="subscript"/>
        </w:rPr>
        <w:t>2</w:t>
      </w:r>
      <w:r w:rsidRPr="006933CC">
        <w:t>O</w:t>
      </w:r>
      <w:r w:rsidRPr="006933CC">
        <w:rPr>
          <w:vertAlign w:val="subscript"/>
        </w:rPr>
        <w:t>7</w:t>
      </w:r>
      <w:r w:rsidRPr="006933CC">
        <w:rPr>
          <w:vertAlign w:val="superscript"/>
        </w:rPr>
        <w:t>2–</w:t>
      </w:r>
      <w:r w:rsidRPr="006933CC">
        <w:t>(aq) + H</w:t>
      </w:r>
      <w:r w:rsidRPr="006933CC">
        <w:rPr>
          <w:vertAlign w:val="subscript"/>
        </w:rPr>
        <w:t>2</w:t>
      </w:r>
      <w:r w:rsidRPr="006933CC">
        <w:t>O</w:t>
      </w:r>
      <w:r w:rsidRPr="006933CC">
        <w:rPr>
          <w:vertAlign w:val="subscript"/>
        </w:rPr>
        <w:t>2</w:t>
      </w:r>
      <w:r w:rsidRPr="006933CC">
        <w:t>(aq) + 8H</w:t>
      </w:r>
      <w:r w:rsidRPr="006933CC">
        <w:rPr>
          <w:vertAlign w:val="superscript"/>
        </w:rPr>
        <w:t>+</w:t>
      </w:r>
      <w:r w:rsidRPr="006933CC">
        <w:t xml:space="preserve">(aq) </w:t>
      </w:r>
      <w:r w:rsidRPr="006933CC">
        <w:rPr>
          <w:rFonts w:ascii="Times New Roman" w:hAnsi="Times New Roman"/>
        </w:rPr>
        <w:t>→</w:t>
      </w:r>
      <w:r w:rsidRPr="006933CC">
        <w:t xml:space="preserve"> 2Cr</w:t>
      </w:r>
      <w:r w:rsidRPr="006933CC">
        <w:rPr>
          <w:vertAlign w:val="superscript"/>
        </w:rPr>
        <w:t>3+</w:t>
      </w:r>
      <w:r w:rsidRPr="006933CC">
        <w:t>(aq) + 5H</w:t>
      </w:r>
      <w:r w:rsidRPr="006933CC">
        <w:rPr>
          <w:vertAlign w:val="subscript"/>
        </w:rPr>
        <w:t>2</w:t>
      </w:r>
      <w:r w:rsidRPr="006933CC">
        <w:t>O(I) + 2O</w:t>
      </w:r>
      <w:r w:rsidRPr="006933CC">
        <w:rPr>
          <w:vertAlign w:val="subscript"/>
        </w:rPr>
        <w:t>2</w:t>
      </w:r>
      <w:r w:rsidRPr="006933CC">
        <w:t>(g)</w:t>
      </w:r>
    </w:p>
    <w:p w14:paraId="30454DD1" w14:textId="77777777" w:rsidR="005678CE" w:rsidRDefault="005678CE" w:rsidP="005678CE"/>
    <w:p w14:paraId="0E1C208A" w14:textId="6F8B219A" w:rsidR="00D511D8" w:rsidRDefault="00D511D8" w:rsidP="00D511D8">
      <w:pPr>
        <w:pStyle w:val="Heading2"/>
      </w:pPr>
      <w:r>
        <w:t>Health</w:t>
      </w:r>
      <w:r w:rsidR="00D0546F">
        <w:t xml:space="preserve">, </w:t>
      </w:r>
      <w:r>
        <w:t>safety</w:t>
      </w:r>
      <w:r w:rsidR="00D0546F">
        <w:t xml:space="preserve"> and technical notes</w:t>
      </w:r>
    </w:p>
    <w:p w14:paraId="23E14CC5" w14:textId="6333A1FB" w:rsidR="006933CC" w:rsidRPr="006933CC" w:rsidRDefault="006933CC" w:rsidP="006933CC">
      <w:pPr>
        <w:pStyle w:val="ListParagraph"/>
        <w:numPr>
          <w:ilvl w:val="0"/>
          <w:numId w:val="21"/>
        </w:numPr>
        <w:rPr>
          <w:rFonts w:cs="Times New Roman"/>
        </w:rPr>
      </w:pPr>
      <w:bookmarkStart w:id="0" w:name="_Hlk115937770"/>
      <w:r>
        <w:t>Read our </w:t>
      </w:r>
      <w:r w:rsidRPr="006933CC">
        <w:t>standard health and safety guidance</w:t>
      </w:r>
      <w:r>
        <w:t xml:space="preserve"> here </w:t>
      </w:r>
      <w:hyperlink r:id="rId12" w:history="1">
        <w:r w:rsidRPr="004550B0">
          <w:rPr>
            <w:rStyle w:val="Hyperlink"/>
          </w:rPr>
          <w:t>https://rsc.li/3CBQD2Y</w:t>
        </w:r>
      </w:hyperlink>
      <w:r>
        <w:t xml:space="preserve"> </w:t>
      </w:r>
    </w:p>
    <w:p w14:paraId="154AE29B" w14:textId="77777777" w:rsidR="006933CC" w:rsidRDefault="006933CC" w:rsidP="006933CC">
      <w:pPr>
        <w:pStyle w:val="ListParagraph"/>
        <w:numPr>
          <w:ilvl w:val="0"/>
          <w:numId w:val="21"/>
        </w:numPr>
      </w:pPr>
      <w:r>
        <w:t>Students must wear suitable eye protection (Splash resistant goggles to BS EN166 3).</w:t>
      </w:r>
    </w:p>
    <w:p w14:paraId="74E42142" w14:textId="314CA16D" w:rsidR="006933CC" w:rsidRDefault="006933CC" w:rsidP="006933CC">
      <w:pPr>
        <w:pStyle w:val="ListParagraph"/>
        <w:numPr>
          <w:ilvl w:val="0"/>
          <w:numId w:val="21"/>
        </w:numPr>
      </w:pPr>
      <w:r>
        <w:t>Potassium dichromate, K</w:t>
      </w:r>
      <w:r w:rsidRPr="006933CC">
        <w:rPr>
          <w:vertAlign w:val="subscript"/>
        </w:rPr>
        <w:t>2</w:t>
      </w:r>
      <w:r>
        <w:t>Cr</w:t>
      </w:r>
      <w:r w:rsidR="00822323" w:rsidRPr="00822323">
        <w:rPr>
          <w:vertAlign w:val="subscript"/>
        </w:rPr>
        <w:t>2</w:t>
      </w:r>
      <w:r>
        <w:t>O</w:t>
      </w:r>
      <w:r w:rsidR="00A62DAF">
        <w:rPr>
          <w:vertAlign w:val="subscript"/>
        </w:rPr>
        <w:t>7</w:t>
      </w:r>
      <w:r>
        <w:t>, 0.2 mol dm</w:t>
      </w:r>
      <w:r w:rsidRPr="006933CC">
        <w:rPr>
          <w:vertAlign w:val="superscript"/>
        </w:rPr>
        <w:t>–3</w:t>
      </w:r>
      <w:r>
        <w:t> is a carcinogen, mutagen, reproductive toxin, skin and respiratory sensitiser. It is also toxic if inhaled, corrosive to skin and eyes and toxic to aquatic life. Wear splash-proof eye-protection if transferring large amounts. Avoid skin contact. See CLEAPSS Hazcard HC078c.</w:t>
      </w:r>
    </w:p>
    <w:p w14:paraId="6EDCCFB8" w14:textId="5FE784B9" w:rsidR="006933CC" w:rsidRDefault="006933CC" w:rsidP="006933CC">
      <w:pPr>
        <w:pStyle w:val="ListParagraph"/>
        <w:numPr>
          <w:ilvl w:val="0"/>
          <w:numId w:val="21"/>
        </w:numPr>
      </w:pPr>
      <w:r>
        <w:t>Hydrogen peroxide, 5% solution H</w:t>
      </w:r>
      <w:r w:rsidRPr="006933CC">
        <w:rPr>
          <w:vertAlign w:val="subscript"/>
        </w:rPr>
        <w:t>2</w:t>
      </w:r>
      <w:r>
        <w:t>O</w:t>
      </w:r>
      <w:r w:rsidRPr="006933CC">
        <w:rPr>
          <w:vertAlign w:val="subscript"/>
        </w:rPr>
        <w:t>2</w:t>
      </w:r>
      <w:r>
        <w:t> (aq) is of low hazard. See CLEAPSS Hazcard HC050.</w:t>
      </w:r>
    </w:p>
    <w:bookmarkEnd w:id="0"/>
    <w:p w14:paraId="4795150B" w14:textId="77777777" w:rsidR="006933CC" w:rsidRPr="006933CC" w:rsidRDefault="006933CC" w:rsidP="006933CC"/>
    <w:p w14:paraId="5517DD9B" w14:textId="77777777" w:rsidR="00FD7D9D" w:rsidRPr="00FD7D9D" w:rsidRDefault="00FD7D9D" w:rsidP="00FD7D9D"/>
    <w:p w14:paraId="243EB354" w14:textId="77777777" w:rsidR="00D0546F" w:rsidRPr="00D511D8" w:rsidRDefault="00D0546F" w:rsidP="00D511D8"/>
    <w:sectPr w:rsidR="00D0546F" w:rsidRPr="00D511D8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9E930" w14:textId="77777777" w:rsidR="005470FA" w:rsidRDefault="005470FA" w:rsidP="00883634">
      <w:pPr>
        <w:spacing w:line="240" w:lineRule="auto"/>
      </w:pPr>
      <w:r>
        <w:separator/>
      </w:r>
    </w:p>
  </w:endnote>
  <w:endnote w:type="continuationSeparator" w:id="0">
    <w:p w14:paraId="24639220" w14:textId="77777777" w:rsidR="005470FA" w:rsidRDefault="005470FA" w:rsidP="008836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C02E19" w14:textId="77777777" w:rsidR="006B7382" w:rsidRDefault="006B738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CB23C" w14:textId="2FB2F0EC" w:rsidR="00883634" w:rsidRPr="00883634" w:rsidRDefault="00883634" w:rsidP="00883634">
    <w:pPr>
      <w:pStyle w:val="Footer"/>
      <w:ind w:left="2694" w:right="3826"/>
      <w:rPr>
        <w:sz w:val="16"/>
        <w:szCs w:val="16"/>
      </w:rPr>
    </w:pPr>
    <w:r w:rsidRPr="00A41300">
      <w:rPr>
        <w:noProof/>
        <w:sz w:val="16"/>
      </w:rPr>
      <w:drawing>
        <wp:anchor distT="0" distB="0" distL="114300" distR="114300" simplePos="0" relativeHeight="251659264" behindDoc="1" locked="0" layoutInCell="1" allowOverlap="1" wp14:anchorId="0A183FDC" wp14:editId="5F569FDB">
          <wp:simplePos x="0" y="0"/>
          <wp:positionH relativeFrom="column">
            <wp:posOffset>-82550</wp:posOffset>
          </wp:positionH>
          <wp:positionV relativeFrom="paragraph">
            <wp:posOffset>-144780</wp:posOffset>
          </wp:positionV>
          <wp:extent cx="1647825" cy="523875"/>
          <wp:effectExtent l="0" t="0" r="0" b="0"/>
          <wp:wrapNone/>
          <wp:docPr id="36" name="Picture 36" descr="RSC_logo_POS_CMYK_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SC_logo_POS_CMYK_M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182" t="19986" r="7217" b="18949"/>
                  <a:stretch/>
                </pic:blipFill>
                <pic:spPr bwMode="auto">
                  <a:xfrm>
                    <a:off x="0" y="0"/>
                    <a:ext cx="1647825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1300">
      <w:rPr>
        <w:sz w:val="16"/>
      </w:rPr>
      <w:t xml:space="preserve">This resource was </w:t>
    </w:r>
    <w:r w:rsidRPr="00A41300">
      <w:rPr>
        <w:sz w:val="16"/>
        <w:szCs w:val="16"/>
      </w:rPr>
      <w:t>downloaded from</w:t>
    </w:r>
    <w:r w:rsidR="00FD7D9D">
      <w:rPr>
        <w:sz w:val="16"/>
        <w:szCs w:val="16"/>
      </w:rPr>
      <w:t xml:space="preserve"> </w:t>
    </w:r>
    <w:bookmarkStart w:id="1" w:name="_Hlk115937784"/>
    <w:r w:rsidR="006933CC">
      <w:rPr>
        <w:sz w:val="16"/>
        <w:szCs w:val="16"/>
      </w:rPr>
      <w:fldChar w:fldCharType="begin"/>
    </w:r>
    <w:r w:rsidR="006933CC">
      <w:rPr>
        <w:sz w:val="16"/>
        <w:szCs w:val="16"/>
      </w:rPr>
      <w:instrText xml:space="preserve"> HYPERLINK "</w:instrText>
    </w:r>
    <w:r w:rsidR="006933CC" w:rsidRPr="006933CC">
      <w:rPr>
        <w:sz w:val="16"/>
        <w:szCs w:val="16"/>
      </w:rPr>
      <w:instrText>https://rsc.li/3V7RUpF</w:instrText>
    </w:r>
    <w:r w:rsidR="006933CC">
      <w:rPr>
        <w:sz w:val="16"/>
        <w:szCs w:val="16"/>
      </w:rPr>
      <w:instrText xml:space="preserve">" </w:instrText>
    </w:r>
    <w:r w:rsidR="006933CC">
      <w:rPr>
        <w:sz w:val="16"/>
        <w:szCs w:val="16"/>
      </w:rPr>
    </w:r>
    <w:r w:rsidR="006933CC">
      <w:rPr>
        <w:sz w:val="16"/>
        <w:szCs w:val="16"/>
      </w:rPr>
      <w:fldChar w:fldCharType="separate"/>
    </w:r>
    <w:r w:rsidR="006933CC" w:rsidRPr="004550B0">
      <w:rPr>
        <w:rStyle w:val="Hyperlink"/>
        <w:sz w:val="16"/>
        <w:szCs w:val="16"/>
      </w:rPr>
      <w:t>https://rsc.li/3V7RUpF</w:t>
    </w:r>
    <w:r w:rsidR="006933CC">
      <w:rPr>
        <w:sz w:val="16"/>
        <w:szCs w:val="16"/>
      </w:rPr>
      <w:fldChar w:fldCharType="end"/>
    </w:r>
    <w:r w:rsidR="006933CC">
      <w:rPr>
        <w:sz w:val="16"/>
        <w:szCs w:val="16"/>
      </w:rPr>
      <w:t xml:space="preserve"> </w:t>
    </w:r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1F22F7" w14:textId="77777777" w:rsidR="006B7382" w:rsidRDefault="006B738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37F348" w14:textId="77777777" w:rsidR="005470FA" w:rsidRDefault="005470FA" w:rsidP="00883634">
      <w:pPr>
        <w:spacing w:line="240" w:lineRule="auto"/>
      </w:pPr>
      <w:r>
        <w:separator/>
      </w:r>
    </w:p>
  </w:footnote>
  <w:footnote w:type="continuationSeparator" w:id="0">
    <w:p w14:paraId="663B68C2" w14:textId="77777777" w:rsidR="005470FA" w:rsidRDefault="005470FA" w:rsidP="008836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DC1F2B" w14:textId="77777777" w:rsidR="006B7382" w:rsidRDefault="006B738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7401AE" w14:textId="77777777" w:rsidR="006B7382" w:rsidRDefault="006B738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73877A" w14:textId="77777777" w:rsidR="006B7382" w:rsidRDefault="006B738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00990"/>
    <w:multiLevelType w:val="hybridMultilevel"/>
    <w:tmpl w:val="27B4818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92BBB"/>
    <w:multiLevelType w:val="hybridMultilevel"/>
    <w:tmpl w:val="A4C6E8C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DC38D4"/>
    <w:multiLevelType w:val="hybridMultilevel"/>
    <w:tmpl w:val="D00C05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A63F7C"/>
    <w:multiLevelType w:val="hybridMultilevel"/>
    <w:tmpl w:val="73F854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372473"/>
    <w:multiLevelType w:val="multilevel"/>
    <w:tmpl w:val="F55463C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387F29"/>
    <w:multiLevelType w:val="hybridMultilevel"/>
    <w:tmpl w:val="46AA50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B9500A"/>
    <w:multiLevelType w:val="hybridMultilevel"/>
    <w:tmpl w:val="CB24BE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6431540"/>
    <w:multiLevelType w:val="hybridMultilevel"/>
    <w:tmpl w:val="DC0EC02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B8161C"/>
    <w:multiLevelType w:val="hybridMultilevel"/>
    <w:tmpl w:val="B350783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EC3665"/>
    <w:multiLevelType w:val="hybridMultilevel"/>
    <w:tmpl w:val="DA6E52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942EA5"/>
    <w:multiLevelType w:val="multilevel"/>
    <w:tmpl w:val="485C8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2534BD"/>
    <w:multiLevelType w:val="hybridMultilevel"/>
    <w:tmpl w:val="05EA36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50B08"/>
    <w:multiLevelType w:val="hybridMultilevel"/>
    <w:tmpl w:val="A7F27E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A30383"/>
    <w:multiLevelType w:val="hybridMultilevel"/>
    <w:tmpl w:val="4FA4A564"/>
    <w:lvl w:ilvl="0" w:tplc="D906622A">
      <w:numFmt w:val="bullet"/>
      <w:lvlText w:val="•"/>
      <w:lvlJc w:val="left"/>
      <w:pPr>
        <w:ind w:left="1080" w:hanging="72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531460"/>
    <w:multiLevelType w:val="hybridMultilevel"/>
    <w:tmpl w:val="6D2A6DE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EF36EC"/>
    <w:multiLevelType w:val="multilevel"/>
    <w:tmpl w:val="60AC3C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5AA03D0"/>
    <w:multiLevelType w:val="hybridMultilevel"/>
    <w:tmpl w:val="EF1A42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A9643B"/>
    <w:multiLevelType w:val="multilevel"/>
    <w:tmpl w:val="EA94B1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724A22"/>
    <w:multiLevelType w:val="hybridMultilevel"/>
    <w:tmpl w:val="97C62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0B2CCD"/>
    <w:multiLevelType w:val="multilevel"/>
    <w:tmpl w:val="D784A2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222FD4"/>
    <w:multiLevelType w:val="hybridMultilevel"/>
    <w:tmpl w:val="241EFB6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EC55E8"/>
    <w:multiLevelType w:val="multilevel"/>
    <w:tmpl w:val="00343B1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7E6F39B0"/>
    <w:multiLevelType w:val="hybridMultilevel"/>
    <w:tmpl w:val="87DCA0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46571491">
    <w:abstractNumId w:val="1"/>
  </w:num>
  <w:num w:numId="2" w16cid:durableId="1739131344">
    <w:abstractNumId w:val="20"/>
  </w:num>
  <w:num w:numId="3" w16cid:durableId="1924870401">
    <w:abstractNumId w:val="8"/>
  </w:num>
  <w:num w:numId="4" w16cid:durableId="944340580">
    <w:abstractNumId w:val="14"/>
  </w:num>
  <w:num w:numId="5" w16cid:durableId="526020237">
    <w:abstractNumId w:val="21"/>
  </w:num>
  <w:num w:numId="6" w16cid:durableId="900870216">
    <w:abstractNumId w:val="4"/>
  </w:num>
  <w:num w:numId="7" w16cid:durableId="1047753641">
    <w:abstractNumId w:val="15"/>
  </w:num>
  <w:num w:numId="8" w16cid:durableId="1679190884">
    <w:abstractNumId w:val="12"/>
  </w:num>
  <w:num w:numId="9" w16cid:durableId="1820535991">
    <w:abstractNumId w:val="0"/>
  </w:num>
  <w:num w:numId="10" w16cid:durableId="1670012541">
    <w:abstractNumId w:val="5"/>
  </w:num>
  <w:num w:numId="11" w16cid:durableId="121849413">
    <w:abstractNumId w:val="9"/>
  </w:num>
  <w:num w:numId="12" w16cid:durableId="889849959">
    <w:abstractNumId w:val="6"/>
  </w:num>
  <w:num w:numId="13" w16cid:durableId="1586450970">
    <w:abstractNumId w:val="18"/>
  </w:num>
  <w:num w:numId="14" w16cid:durableId="642855116">
    <w:abstractNumId w:val="22"/>
  </w:num>
  <w:num w:numId="15" w16cid:durableId="1181316693">
    <w:abstractNumId w:val="11"/>
  </w:num>
  <w:num w:numId="16" w16cid:durableId="1418670244">
    <w:abstractNumId w:val="16"/>
  </w:num>
  <w:num w:numId="17" w16cid:durableId="899023389">
    <w:abstractNumId w:val="13"/>
  </w:num>
  <w:num w:numId="18" w16cid:durableId="1790471712">
    <w:abstractNumId w:val="19"/>
  </w:num>
  <w:num w:numId="19" w16cid:durableId="1626498749">
    <w:abstractNumId w:val="17"/>
  </w:num>
  <w:num w:numId="20" w16cid:durableId="915017403">
    <w:abstractNumId w:val="10"/>
  </w:num>
  <w:num w:numId="21" w16cid:durableId="1411929767">
    <w:abstractNumId w:val="3"/>
  </w:num>
  <w:num w:numId="22" w16cid:durableId="1012295874">
    <w:abstractNumId w:val="7"/>
  </w:num>
  <w:num w:numId="23" w16cid:durableId="1135835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4467"/>
    <w:rsid w:val="000259B8"/>
    <w:rsid w:val="0010594E"/>
    <w:rsid w:val="00107A74"/>
    <w:rsid w:val="00121D41"/>
    <w:rsid w:val="001524CD"/>
    <w:rsid w:val="0015353F"/>
    <w:rsid w:val="001546EA"/>
    <w:rsid w:val="001554E7"/>
    <w:rsid w:val="001637E5"/>
    <w:rsid w:val="00196E56"/>
    <w:rsid w:val="0019786D"/>
    <w:rsid w:val="002479DD"/>
    <w:rsid w:val="002A179B"/>
    <w:rsid w:val="002E173F"/>
    <w:rsid w:val="00315C09"/>
    <w:rsid w:val="00357DE0"/>
    <w:rsid w:val="00384C00"/>
    <w:rsid w:val="003F3444"/>
    <w:rsid w:val="00402AB6"/>
    <w:rsid w:val="00412A04"/>
    <w:rsid w:val="00452BAE"/>
    <w:rsid w:val="004D7222"/>
    <w:rsid w:val="004E0D1B"/>
    <w:rsid w:val="004F37DE"/>
    <w:rsid w:val="00530E52"/>
    <w:rsid w:val="005470FA"/>
    <w:rsid w:val="005678CE"/>
    <w:rsid w:val="005E2D53"/>
    <w:rsid w:val="005E4E58"/>
    <w:rsid w:val="005F10C0"/>
    <w:rsid w:val="00623869"/>
    <w:rsid w:val="00683FBC"/>
    <w:rsid w:val="006933CC"/>
    <w:rsid w:val="00695E32"/>
    <w:rsid w:val="006A7649"/>
    <w:rsid w:val="006B2D5F"/>
    <w:rsid w:val="006B7382"/>
    <w:rsid w:val="006E6495"/>
    <w:rsid w:val="006F11C7"/>
    <w:rsid w:val="006F1D7B"/>
    <w:rsid w:val="007648CD"/>
    <w:rsid w:val="00795D31"/>
    <w:rsid w:val="007B29DA"/>
    <w:rsid w:val="007C5B2B"/>
    <w:rsid w:val="00801C93"/>
    <w:rsid w:val="00822323"/>
    <w:rsid w:val="00883634"/>
    <w:rsid w:val="00883CB8"/>
    <w:rsid w:val="008A2DC0"/>
    <w:rsid w:val="008D2638"/>
    <w:rsid w:val="009055FB"/>
    <w:rsid w:val="00942589"/>
    <w:rsid w:val="00944467"/>
    <w:rsid w:val="009662E3"/>
    <w:rsid w:val="0097778A"/>
    <w:rsid w:val="009827C9"/>
    <w:rsid w:val="009A34C5"/>
    <w:rsid w:val="009A4E4D"/>
    <w:rsid w:val="009C28B0"/>
    <w:rsid w:val="009C6C7F"/>
    <w:rsid w:val="00A21641"/>
    <w:rsid w:val="00A62DAF"/>
    <w:rsid w:val="00AD3FFE"/>
    <w:rsid w:val="00B2046D"/>
    <w:rsid w:val="00B76B6A"/>
    <w:rsid w:val="00B802D2"/>
    <w:rsid w:val="00B87E51"/>
    <w:rsid w:val="00BC5C4C"/>
    <w:rsid w:val="00BC7C98"/>
    <w:rsid w:val="00C0182D"/>
    <w:rsid w:val="00C11EC1"/>
    <w:rsid w:val="00C611F9"/>
    <w:rsid w:val="00CF5E46"/>
    <w:rsid w:val="00D03746"/>
    <w:rsid w:val="00D0546F"/>
    <w:rsid w:val="00D15C73"/>
    <w:rsid w:val="00D16ED5"/>
    <w:rsid w:val="00D32040"/>
    <w:rsid w:val="00D511D8"/>
    <w:rsid w:val="00DB7CF6"/>
    <w:rsid w:val="00DC4499"/>
    <w:rsid w:val="00E04D15"/>
    <w:rsid w:val="00E6281A"/>
    <w:rsid w:val="00E64520"/>
    <w:rsid w:val="00E81B12"/>
    <w:rsid w:val="00EA245E"/>
    <w:rsid w:val="00EE1EE1"/>
    <w:rsid w:val="00EE4ECC"/>
    <w:rsid w:val="00EE7B55"/>
    <w:rsid w:val="00F20AA7"/>
    <w:rsid w:val="00F36FC4"/>
    <w:rsid w:val="00F8362D"/>
    <w:rsid w:val="00F93ED9"/>
    <w:rsid w:val="00FB18F6"/>
    <w:rsid w:val="00FD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BC2842"/>
  <w15:chartTrackingRefBased/>
  <w15:docId w15:val="{01A93424-048A-45EB-81CF-813226DF0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6495"/>
    <w:pPr>
      <w:spacing w:after="0"/>
    </w:pPr>
    <w:rPr>
      <w:rFonts w:ascii="Arial" w:hAnsi="Arial" w:cs="Arial"/>
      <w:color w:val="000000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6E6495"/>
    <w:pPr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E6495"/>
    <w:pPr>
      <w:spacing w:before="240"/>
      <w:outlineLvl w:val="1"/>
    </w:pPr>
    <w:rPr>
      <w:b/>
      <w:bCs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qFormat/>
    <w:rsid w:val="00942589"/>
    <w:pPr>
      <w:outlineLvl w:val="2"/>
    </w:pPr>
    <w:rPr>
      <w:b/>
      <w:bCs/>
    </w:rPr>
  </w:style>
  <w:style w:type="paragraph" w:styleId="Heading4">
    <w:name w:val="heading 4"/>
    <w:basedOn w:val="Normal"/>
    <w:link w:val="Heading4Char"/>
    <w:uiPriority w:val="9"/>
    <w:qFormat/>
    <w:rsid w:val="00944467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42589"/>
    <w:rPr>
      <w:rFonts w:ascii="Arial" w:hAnsi="Arial" w:cs="Arial"/>
      <w:b/>
      <w:bCs/>
      <w:color w:val="000000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944467"/>
    <w:rPr>
      <w:rFonts w:ascii="Times New Roman" w:eastAsia="Times New Roman" w:hAnsi="Times New Roman" w:cs="Times New Roman"/>
      <w:b/>
      <w:bCs/>
      <w:sz w:val="24"/>
      <w:szCs w:val="24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9444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rsid w:val="006E6495"/>
    <w:rPr>
      <w:rFonts w:ascii="Arial" w:hAnsi="Arial" w:cs="Arial"/>
      <w:b/>
      <w:bCs/>
      <w:color w:val="000000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6E6495"/>
    <w:rPr>
      <w:rFonts w:ascii="Arial" w:hAnsi="Arial" w:cs="Arial"/>
      <w:b/>
      <w:bCs/>
      <w:sz w:val="28"/>
      <w:szCs w:val="2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3634"/>
    <w:rPr>
      <w:rFonts w:ascii="Arial" w:hAnsi="Arial" w:cs="Arial"/>
      <w:color w:val="000000"/>
      <w:lang w:eastAsia="en-GB"/>
    </w:rPr>
  </w:style>
  <w:style w:type="paragraph" w:styleId="Footer">
    <w:name w:val="footer"/>
    <w:aliases w:val="RSC Ed Footer"/>
    <w:basedOn w:val="Normal"/>
    <w:link w:val="FooterChar"/>
    <w:uiPriority w:val="99"/>
    <w:unhideWhenUsed/>
    <w:qFormat/>
    <w:rsid w:val="00883634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aliases w:val="RSC Ed Footer Char"/>
    <w:basedOn w:val="DefaultParagraphFont"/>
    <w:link w:val="Footer"/>
    <w:uiPriority w:val="99"/>
    <w:rsid w:val="00883634"/>
    <w:rPr>
      <w:rFonts w:ascii="Arial" w:hAnsi="Arial" w:cs="Arial"/>
      <w:color w:val="000000"/>
      <w:lang w:eastAsia="en-GB"/>
    </w:rPr>
  </w:style>
  <w:style w:type="character" w:styleId="Hyperlink">
    <w:name w:val="Hyperlink"/>
    <w:basedOn w:val="DefaultParagraphFont"/>
    <w:uiPriority w:val="99"/>
    <w:unhideWhenUsed/>
    <w:rsid w:val="00883634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9A34C5"/>
    <w:pPr>
      <w:ind w:left="720"/>
      <w:contextualSpacing/>
    </w:pPr>
  </w:style>
  <w:style w:type="table" w:styleId="TableGrid">
    <w:name w:val="Table Grid"/>
    <w:basedOn w:val="TableNormal"/>
    <w:uiPriority w:val="39"/>
    <w:rsid w:val="007C5B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D0546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4E0D1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E0D1B"/>
    <w:rPr>
      <w:color w:val="954F72" w:themeColor="followedHyperlink"/>
      <w:u w:val="single"/>
    </w:rPr>
  </w:style>
  <w:style w:type="character" w:styleId="PlaceholderText">
    <w:name w:val="Placeholder Text"/>
    <w:basedOn w:val="DefaultParagraphFont"/>
    <w:uiPriority w:val="99"/>
    <w:semiHidden/>
    <w:rsid w:val="005678C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35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36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5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8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59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0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6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sc.li/3CBQD2Y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rsc.li/3T17hyt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30CB3AF72E294BAA9EED55E6F831F6" ma:contentTypeVersion="12" ma:contentTypeDescription="Create a new document." ma:contentTypeScope="" ma:versionID="a9b369b026405f9aa2324319fcab3a18">
  <xsd:schema xmlns:xsd="http://www.w3.org/2001/XMLSchema" xmlns:xs="http://www.w3.org/2001/XMLSchema" xmlns:p="http://schemas.microsoft.com/office/2006/metadata/properties" xmlns:ns3="472a3ddc-6003-415e-a262-c0a931a5a88b" xmlns:ns4="735c6f9d-ea00-4d07-8164-4ddae4f5c3ce" targetNamespace="http://schemas.microsoft.com/office/2006/metadata/properties" ma:root="true" ma:fieldsID="a10d5c944e78087bf2f152c039f35777" ns3:_="" ns4:_="">
    <xsd:import namespace="472a3ddc-6003-415e-a262-c0a931a5a88b"/>
    <xsd:import namespace="735c6f9d-ea00-4d07-8164-4ddae4f5c3c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  <xsd:element ref="ns4:MediaServiceDateTaken" minOccurs="0"/>
                <xsd:element ref="ns4:MediaServiceAutoKeyPoints" minOccurs="0"/>
                <xsd:element ref="ns4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2a3ddc-6003-415e-a262-c0a931a5a88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5c6f9d-ea00-4d07-8164-4ddae4f5c3c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D813852-85C2-4AD3-84B5-1733ACFFCA2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A29FB3A0-01A9-4A0D-9D84-CEB4A22CC27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EE21230-E706-4A4F-882E-E1F25809CC01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5AFEF52-EB04-4829-A4AD-4EDC8453E88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72a3ddc-6003-415e-a262-c0a931a5a88b"/>
    <ds:schemaRef ds:uri="735c6f9d-ea00-4d07-8164-4ddae4f5c3c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Redox chemistry with dichromate ions – teacher notes</vt:lpstr>
    </vt:vector>
  </TitlesOfParts>
  <Company>Royal Society Of Chemistry</Company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Redox chemistry with dichromate ions – teacher notes</dc:title>
  <dc:subject>TBC</dc:subject>
  <dc:creator>Royal Society of Chemistry</dc:creator>
  <cp:keywords>RSC</cp:keywords>
  <dc:description>Observe the colour changes that occur with the reduction of dichromate ions by hydrogen peroxide</dc:description>
  <cp:lastModifiedBy>Bobby Wells-Brown</cp:lastModifiedBy>
  <cp:revision>5</cp:revision>
  <cp:lastPrinted>2022-10-06T07:32:00Z</cp:lastPrinted>
  <dcterms:created xsi:type="dcterms:W3CDTF">2022-10-06T07:31:00Z</dcterms:created>
  <dcterms:modified xsi:type="dcterms:W3CDTF">2023-08-11T08:10:00Z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0x010100F130CB3AF72E294BAA9EED55E6F831F6</vt:lpwstr>
  </property>
</Properties>
</file>