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57E1B99B" w:rsidR="00A5740C" w:rsidRDefault="00963E74" w:rsidP="000E4D3D">
      <w:pPr>
        <w:pStyle w:val="RSCH1"/>
      </w:pPr>
      <w:r>
        <w:t>Hanu</w:t>
      </w:r>
      <w:r w:rsidR="007876FC">
        <w:t>k</w:t>
      </w:r>
      <w:r>
        <w:t>kah do</w:t>
      </w:r>
      <w:r w:rsidR="000307A3">
        <w:t>ugh</w:t>
      </w:r>
      <w:r>
        <w:t>nuts: interpreting practical instructions</w:t>
      </w:r>
    </w:p>
    <w:p w14:paraId="2E1C53A4" w14:textId="762E3DD0" w:rsidR="000307A3" w:rsidRDefault="000307A3" w:rsidP="000307A3">
      <w:pPr>
        <w:pStyle w:val="RSCBasictext"/>
        <w:rPr>
          <w:rStyle w:val="Hyperlink"/>
          <w:lang w:eastAsia="en-GB"/>
        </w:rPr>
      </w:pPr>
      <w:r>
        <w:rPr>
          <w:lang w:eastAsia="en-GB"/>
        </w:rPr>
        <w:t xml:space="preserve">This resource is part of a collection of ideas and activities for chemistry lessons in the </w:t>
      </w:r>
      <w:r w:rsidR="00741359">
        <w:rPr>
          <w:lang w:eastAsia="en-GB"/>
        </w:rPr>
        <w:t xml:space="preserve">run up to the </w:t>
      </w:r>
      <w:r>
        <w:rPr>
          <w:lang w:eastAsia="en-GB"/>
        </w:rPr>
        <w:t xml:space="preserve">festive season. Find more at: </w:t>
      </w:r>
      <w:hyperlink r:id="rId8" w:history="1">
        <w:r>
          <w:rPr>
            <w:rStyle w:val="Hyperlink"/>
            <w:lang w:eastAsia="en-GB"/>
          </w:rPr>
          <w:t>rsc.li/3h40uXc</w:t>
        </w:r>
      </w:hyperlink>
      <w:r>
        <w:rPr>
          <w:lang w:eastAsia="en-GB"/>
        </w:rPr>
        <w:t>.</w:t>
      </w:r>
    </w:p>
    <w:p w14:paraId="791953DF" w14:textId="536DE5D8" w:rsidR="00A5740C" w:rsidRDefault="00722220" w:rsidP="000736CE">
      <w:pPr>
        <w:pStyle w:val="RSCH2"/>
      </w:pPr>
      <w:r>
        <w:t>Learning objectives</w:t>
      </w:r>
    </w:p>
    <w:p w14:paraId="2E63B68E" w14:textId="0544F5FF" w:rsidR="00722220" w:rsidRDefault="00343320" w:rsidP="00351CAD">
      <w:pPr>
        <w:pStyle w:val="RSCLearningobjectives"/>
      </w:pPr>
      <w:r>
        <w:t xml:space="preserve">Interpret </w:t>
      </w:r>
      <w:r w:rsidR="0039515C">
        <w:t xml:space="preserve">different </w:t>
      </w:r>
      <w:r w:rsidR="00B5494F">
        <w:t xml:space="preserve">forms </w:t>
      </w:r>
      <w:r w:rsidR="0039515C">
        <w:t>for communicating practical instructions.</w:t>
      </w:r>
    </w:p>
    <w:p w14:paraId="2AEC8EDA" w14:textId="419DE63E" w:rsidR="0039515C" w:rsidRDefault="0039515C" w:rsidP="00351CAD">
      <w:pPr>
        <w:pStyle w:val="RSCLearningobjectives"/>
      </w:pPr>
      <w:r>
        <w:t>Convert practical methods between different forms</w:t>
      </w:r>
      <w:r w:rsidR="00B5494F">
        <w:t>.</w:t>
      </w:r>
    </w:p>
    <w:p w14:paraId="6D28ACBF" w14:textId="58EFD8AC" w:rsidR="00B5494F" w:rsidRDefault="00B5494F" w:rsidP="00351CAD">
      <w:pPr>
        <w:pStyle w:val="RSCLearningobjectives"/>
      </w:pPr>
      <w:r>
        <w:t xml:space="preserve">Evaluate the advantages and disadvantages of different </w:t>
      </w:r>
      <w:r w:rsidR="000B272A">
        <w:t>forms of practical instruction.</w:t>
      </w:r>
    </w:p>
    <w:p w14:paraId="69E266E5" w14:textId="77777777" w:rsidR="00457C86" w:rsidRDefault="00457C86" w:rsidP="00457C86">
      <w:pPr>
        <w:pStyle w:val="RSCLearningobjectives"/>
        <w:numPr>
          <w:ilvl w:val="0"/>
          <w:numId w:val="0"/>
        </w:numPr>
        <w:ind w:left="476"/>
      </w:pPr>
    </w:p>
    <w:p w14:paraId="2BD08E7B" w14:textId="67D4F267" w:rsidR="00722220" w:rsidRDefault="00561C77" w:rsidP="00133D69">
      <w:pPr>
        <w:pStyle w:val="RSCBasictext"/>
      </w:pPr>
      <w:r>
        <w:t xml:space="preserve">This activity presents three different forms of practical instruction for making </w:t>
      </w:r>
      <w:r w:rsidR="00563324">
        <w:t>Hannukah do</w:t>
      </w:r>
      <w:r w:rsidR="000307A3">
        <w:t>ugh</w:t>
      </w:r>
      <w:r w:rsidR="00563324">
        <w:t xml:space="preserve">nuts, a festive treat </w:t>
      </w:r>
      <w:r w:rsidR="00481DAA">
        <w:t>common during this Jewish festival.</w:t>
      </w:r>
      <w:r w:rsidR="00133D69">
        <w:t xml:space="preserve"> </w:t>
      </w:r>
      <w:r w:rsidR="00326413">
        <w:t xml:space="preserve">The activity can be used in different ways depending on </w:t>
      </w:r>
      <w:r w:rsidR="00B061E6">
        <w:t xml:space="preserve">the desired learning objectives. </w:t>
      </w:r>
    </w:p>
    <w:p w14:paraId="168280F3" w14:textId="74AE6C33" w:rsidR="00B061E6" w:rsidRDefault="00741359" w:rsidP="00133D69">
      <w:pPr>
        <w:pStyle w:val="RSCBasictext"/>
      </w:pPr>
      <w:r>
        <w:t>S</w:t>
      </w:r>
      <w:r w:rsidR="00B061E6">
        <w:t xml:space="preserve">tudents could complete a </w:t>
      </w:r>
      <w:r w:rsidR="002B79E1">
        <w:t>side-by-side</w:t>
      </w:r>
      <w:r w:rsidR="00B061E6">
        <w:t xml:space="preserve"> analysis of the three </w:t>
      </w:r>
      <w:r w:rsidR="00BE5699">
        <w:t>forms</w:t>
      </w:r>
      <w:r w:rsidR="00B061E6">
        <w:t>, identifying advantages and disadvantages</w:t>
      </w:r>
      <w:r w:rsidR="002D0353">
        <w:t xml:space="preserve">. They could take this further </w:t>
      </w:r>
      <w:r w:rsidR="00EC00FD">
        <w:t xml:space="preserve">to improve on the forms provided. For example, they could combine </w:t>
      </w:r>
      <w:r w:rsidR="00BE5699">
        <w:t>elements of the different forms to produce optimal instructions for themselves or peers.</w:t>
      </w:r>
    </w:p>
    <w:p w14:paraId="474A7CEE" w14:textId="7FC4F281" w:rsidR="006770AE" w:rsidRDefault="00BE5699" w:rsidP="00133D69">
      <w:pPr>
        <w:pStyle w:val="RSCBasictext"/>
      </w:pPr>
      <w:r>
        <w:t>Alternative</w:t>
      </w:r>
      <w:r w:rsidR="002427C8">
        <w:t xml:space="preserve">ly, students could be provided with one or two of the forms, and then develop their own version of the third form. </w:t>
      </w:r>
      <w:r w:rsidR="006770AE">
        <w:t xml:space="preserve">For example, one student could convert the traditional form into integrated instructions form, and the second student vice versa. By comparing </w:t>
      </w:r>
      <w:r w:rsidR="009C5AF7">
        <w:t xml:space="preserve">the </w:t>
      </w:r>
      <w:proofErr w:type="gramStart"/>
      <w:r w:rsidR="009C5AF7">
        <w:t>instructions</w:t>
      </w:r>
      <w:proofErr w:type="gramEnd"/>
      <w:r w:rsidR="009C5AF7">
        <w:t xml:space="preserve"> they developed with the forms provided, they could evaluate the reliability of the methods they have produced.</w:t>
      </w:r>
    </w:p>
    <w:p w14:paraId="12DA9B48" w14:textId="5E2A6811" w:rsidR="00A5740C" w:rsidRPr="000B0FE6" w:rsidRDefault="00603108" w:rsidP="00603108">
      <w:pPr>
        <w:pStyle w:val="RSCH3"/>
        <w:rPr>
          <w:lang w:eastAsia="en-GB"/>
        </w:rPr>
      </w:pPr>
      <w:r>
        <w:rPr>
          <w:lang w:eastAsia="en-GB"/>
        </w:rPr>
        <w:t>Equipment</w:t>
      </w:r>
    </w:p>
    <w:p w14:paraId="2951D54A" w14:textId="20808209" w:rsidR="00603108" w:rsidRPr="00082B2A" w:rsidRDefault="002A12D5" w:rsidP="00082B2A">
      <w:pPr>
        <w:pStyle w:val="RSCBulletedlist"/>
      </w:pPr>
      <w:r w:rsidRPr="00082B2A">
        <w:t>Paper or electronic copies of the practical instruction forms.</w:t>
      </w:r>
    </w:p>
    <w:p w14:paraId="055373B5" w14:textId="4DCF33D5" w:rsidR="00603108" w:rsidRPr="00082B2A" w:rsidRDefault="002A12D5" w:rsidP="00082B2A">
      <w:pPr>
        <w:pStyle w:val="RSCBulletedlist"/>
      </w:pPr>
      <w:r w:rsidRPr="00082B2A">
        <w:t xml:space="preserve">Paper/pen or electronic </w:t>
      </w:r>
      <w:r w:rsidR="00A24DCD" w:rsidRPr="00082B2A">
        <w:t>notebook to produce their own instructions.</w:t>
      </w:r>
    </w:p>
    <w:p w14:paraId="75F48CC5" w14:textId="77777777" w:rsidR="00A24DCD" w:rsidRDefault="00A24DCD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319601D4" w14:textId="5E41C486" w:rsidR="00A5740C" w:rsidRDefault="002B79E1" w:rsidP="004102F1">
      <w:pPr>
        <w:pStyle w:val="RSCH2"/>
        <w:rPr>
          <w:b w:val="0"/>
          <w:bCs w:val="0"/>
        </w:rPr>
      </w:pPr>
      <w:r>
        <w:lastRenderedPageBreak/>
        <w:t>Possible a</w:t>
      </w:r>
      <w:r w:rsidR="008540CC">
        <w:t>nswers</w:t>
      </w:r>
    </w:p>
    <w:p w14:paraId="5DB458A7" w14:textId="77777777" w:rsidR="00CA42C9" w:rsidRDefault="00CA42C9" w:rsidP="00CA42C9">
      <w:pPr>
        <w:pStyle w:val="RSCBasic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6"/>
        <w:gridCol w:w="3755"/>
        <w:gridCol w:w="3755"/>
      </w:tblGrid>
      <w:tr w:rsidR="00333A98" w14:paraId="6686D107" w14:textId="77777777" w:rsidTr="00333A98">
        <w:trPr>
          <w:trHeight w:val="482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88E"/>
            <w:vAlign w:val="center"/>
            <w:hideMark/>
          </w:tcPr>
          <w:p w14:paraId="77D1BEA0" w14:textId="24568CD7" w:rsidR="00CA42C9" w:rsidRDefault="00CA42C9">
            <w:pPr>
              <w:spacing w:before="58" w:after="58" w:line="256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 xml:space="preserve">Practical </w:t>
            </w:r>
            <w:r w:rsidR="005F5D8F">
              <w:rPr>
                <w:rFonts w:ascii="Century Gothic" w:hAnsi="Century Gothic"/>
                <w:b/>
                <w:bCs/>
                <w:color w:val="006F62"/>
              </w:rPr>
              <w:t>form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88E"/>
            <w:vAlign w:val="center"/>
            <w:hideMark/>
          </w:tcPr>
          <w:p w14:paraId="448AE8CD" w14:textId="5A5089FE" w:rsidR="00CA42C9" w:rsidRDefault="005F5D8F">
            <w:pPr>
              <w:spacing w:before="60" w:after="60" w:line="256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Advantages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88E"/>
            <w:vAlign w:val="center"/>
            <w:hideMark/>
          </w:tcPr>
          <w:p w14:paraId="2011D0DF" w14:textId="76209FA1" w:rsidR="00CA42C9" w:rsidRDefault="005F5D8F">
            <w:pPr>
              <w:spacing w:before="60" w:after="60" w:line="256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Disadvantages</w:t>
            </w:r>
          </w:p>
        </w:tc>
      </w:tr>
      <w:tr w:rsidR="00CA42C9" w14:paraId="3A40E2EE" w14:textId="77777777" w:rsidTr="00333A98">
        <w:trPr>
          <w:trHeight w:val="482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0DE776" w14:textId="1EB488BD" w:rsidR="00CA42C9" w:rsidRDefault="00333A98">
            <w:pPr>
              <w:spacing w:after="0" w:line="256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Recipe form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4EA06" w14:textId="77777777" w:rsidR="00CA42C9" w:rsidRPr="00082B2A" w:rsidRDefault="00333A98" w:rsidP="00082B2A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>Concise</w:t>
            </w:r>
          </w:p>
          <w:p w14:paraId="7975859C" w14:textId="2E566D44" w:rsidR="00333A98" w:rsidRPr="00082B2A" w:rsidRDefault="000C1D57" w:rsidP="00082B2A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>Quick to read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BBFD3" w14:textId="6279E406" w:rsidR="00CA42C9" w:rsidRPr="00082B2A" w:rsidRDefault="000C1D57" w:rsidP="000C1D57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>Relies on prior cookery knowledge</w:t>
            </w:r>
          </w:p>
          <w:p w14:paraId="2C93B985" w14:textId="54F09F43" w:rsidR="000C1D57" w:rsidRPr="00082B2A" w:rsidRDefault="000C1D57" w:rsidP="000C1D57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>Doesn’t identify all the equipment required</w:t>
            </w:r>
          </w:p>
        </w:tc>
      </w:tr>
      <w:tr w:rsidR="00CA42C9" w14:paraId="3E57A15B" w14:textId="77777777" w:rsidTr="00333A98">
        <w:trPr>
          <w:trHeight w:val="482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4EA677" w14:textId="12099618" w:rsidR="00CA42C9" w:rsidRDefault="00333A98">
            <w:pPr>
              <w:spacing w:after="0" w:line="256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Science practical written form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8000A" w14:textId="792DB1FD" w:rsidR="00CA42C9" w:rsidRPr="00082B2A" w:rsidRDefault="000A04ED" w:rsidP="000C1D57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>Clear list of all ingredients and cookery equipment required</w:t>
            </w:r>
          </w:p>
          <w:p w14:paraId="7255138C" w14:textId="246AA4B1" w:rsidR="000A04ED" w:rsidRPr="00082B2A" w:rsidRDefault="000A04ED" w:rsidP="000C1D57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>Detailed instructions of how to carry out each step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45853" w14:textId="691221C1" w:rsidR="00CA42C9" w:rsidRPr="00082B2A" w:rsidRDefault="00FA42E9" w:rsidP="000A04ED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>Assumes knowledge of how to use all the apparatus</w:t>
            </w:r>
          </w:p>
          <w:p w14:paraId="44DBC66A" w14:textId="3317188C" w:rsidR="00FA42E9" w:rsidRPr="00082B2A" w:rsidRDefault="00FA42E9" w:rsidP="000A04ED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>A lot of information to interpret in one go</w:t>
            </w:r>
          </w:p>
        </w:tc>
      </w:tr>
      <w:tr w:rsidR="00CA42C9" w14:paraId="7FAB3C13" w14:textId="77777777" w:rsidTr="00333A98">
        <w:trPr>
          <w:trHeight w:val="482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5F986" w14:textId="443225BF" w:rsidR="00CA42C9" w:rsidRDefault="00333A98">
            <w:pPr>
              <w:spacing w:after="0" w:line="256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Integrated instructions form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EDEBB" w14:textId="18158150" w:rsidR="00CA42C9" w:rsidRPr="00082B2A" w:rsidRDefault="00FA42E9" w:rsidP="00FA42E9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 xml:space="preserve">Combines simplified written instructions with </w:t>
            </w:r>
            <w:r w:rsidR="00B62125" w:rsidRPr="00082B2A">
              <w:rPr>
                <w:sz w:val="20"/>
                <w:szCs w:val="20"/>
              </w:rPr>
              <w:t>simple pictograms</w:t>
            </w:r>
          </w:p>
          <w:p w14:paraId="44D171DC" w14:textId="0C0E945C" w:rsidR="00B62125" w:rsidRPr="00082B2A" w:rsidRDefault="007264CC" w:rsidP="00FA42E9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 xml:space="preserve">Provides </w:t>
            </w:r>
            <w:r w:rsidR="00E06700" w:rsidRPr="00082B2A">
              <w:rPr>
                <w:sz w:val="20"/>
                <w:szCs w:val="20"/>
              </w:rPr>
              <w:t>built-in checklist of each step</w:t>
            </w:r>
          </w:p>
          <w:p w14:paraId="25D25EE0" w14:textId="265E4D0A" w:rsidR="00E06700" w:rsidRPr="00082B2A" w:rsidRDefault="00E70C91" w:rsidP="00FA42E9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>Movement of ingredients and apparatus clear show by arrows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67975" w14:textId="0ABE3448" w:rsidR="00CA42C9" w:rsidRPr="00082B2A" w:rsidRDefault="00E70C91" w:rsidP="00E70C91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 xml:space="preserve">A lot of information to interpret </w:t>
            </w:r>
            <w:r w:rsidR="0057103B" w:rsidRPr="00082B2A">
              <w:rPr>
                <w:sz w:val="20"/>
                <w:szCs w:val="20"/>
              </w:rPr>
              <w:t>on first viewing</w:t>
            </w:r>
          </w:p>
          <w:p w14:paraId="6FCB83A2" w14:textId="3DE851BF" w:rsidR="0057103B" w:rsidRPr="00082B2A" w:rsidRDefault="00A77A3C" w:rsidP="00E70C91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>Flow of instructions is not consistent in this method</w:t>
            </w:r>
          </w:p>
          <w:p w14:paraId="128E7F02" w14:textId="1494F0F2" w:rsidR="000878AB" w:rsidRPr="00082B2A" w:rsidRDefault="000878AB" w:rsidP="00E70C91">
            <w:pPr>
              <w:pStyle w:val="RSCBulletedlist"/>
              <w:rPr>
                <w:sz w:val="20"/>
                <w:szCs w:val="20"/>
              </w:rPr>
            </w:pPr>
            <w:r w:rsidRPr="00082B2A">
              <w:rPr>
                <w:sz w:val="20"/>
                <w:szCs w:val="20"/>
              </w:rPr>
              <w:t>Instructions can take longer to develop initially</w:t>
            </w:r>
          </w:p>
        </w:tc>
      </w:tr>
    </w:tbl>
    <w:p w14:paraId="780415C4" w14:textId="77777777" w:rsidR="00CA42C9" w:rsidRPr="00CA42C9" w:rsidRDefault="00CA42C9" w:rsidP="004102F1">
      <w:pPr>
        <w:pStyle w:val="RSCH2"/>
      </w:pPr>
    </w:p>
    <w:sectPr w:rsidR="00CA42C9" w:rsidRPr="00CA42C9" w:rsidSect="00231C1C">
      <w:headerReference w:type="default" r:id="rId9"/>
      <w:footerReference w:type="default" r:id="rId1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FC7F" w14:textId="77777777" w:rsidR="005235BA" w:rsidRDefault="005235BA" w:rsidP="008A1B0B">
      <w:pPr>
        <w:spacing w:after="0" w:line="240" w:lineRule="auto"/>
      </w:pPr>
      <w:r>
        <w:separator/>
      </w:r>
    </w:p>
  </w:endnote>
  <w:endnote w:type="continuationSeparator" w:id="0">
    <w:p w14:paraId="61093EC6" w14:textId="77777777" w:rsidR="005235BA" w:rsidRDefault="005235BA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19C939C9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91D12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25B6" w14:textId="77777777" w:rsidR="005235BA" w:rsidRDefault="005235BA" w:rsidP="008A1B0B">
      <w:pPr>
        <w:spacing w:after="0" w:line="240" w:lineRule="auto"/>
      </w:pPr>
      <w:r>
        <w:separator/>
      </w:r>
    </w:p>
  </w:footnote>
  <w:footnote w:type="continuationSeparator" w:id="0">
    <w:p w14:paraId="5EEC9770" w14:textId="77777777" w:rsidR="005235BA" w:rsidRDefault="005235BA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52AE6145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0A97F83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3A131EF9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CA36F5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6658A844" w:rsidR="00165FBB" w:rsidRPr="00A77B3E" w:rsidRDefault="00CA36F5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D</w:t>
    </w:r>
    <w:r w:rsidR="00875152">
      <w:rPr>
        <w:color w:val="000000" w:themeColor="text1"/>
        <w:sz w:val="18"/>
        <w:szCs w:val="18"/>
      </w:rPr>
      <w:t>ownloaded from</w:t>
    </w:r>
    <w:r w:rsidR="00875152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0307A3" w:rsidRPr="000307A3">
        <w:rPr>
          <w:rStyle w:val="Hyperlink"/>
          <w:sz w:val="18"/>
          <w:szCs w:val="18"/>
        </w:rPr>
        <w:t>rsc.li/3fEvaxX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630533">
    <w:abstractNumId w:val="11"/>
  </w:num>
  <w:num w:numId="2" w16cid:durableId="939488851">
    <w:abstractNumId w:val="7"/>
  </w:num>
  <w:num w:numId="3" w16cid:durableId="105345162">
    <w:abstractNumId w:val="5"/>
  </w:num>
  <w:num w:numId="4" w16cid:durableId="1769276141">
    <w:abstractNumId w:val="6"/>
  </w:num>
  <w:num w:numId="5" w16cid:durableId="496843000">
    <w:abstractNumId w:val="9"/>
  </w:num>
  <w:num w:numId="6" w16cid:durableId="1136332210">
    <w:abstractNumId w:val="10"/>
  </w:num>
  <w:num w:numId="7" w16cid:durableId="242183058">
    <w:abstractNumId w:val="1"/>
  </w:num>
  <w:num w:numId="8" w16cid:durableId="524516681">
    <w:abstractNumId w:val="4"/>
  </w:num>
  <w:num w:numId="9" w16cid:durableId="621693103">
    <w:abstractNumId w:val="3"/>
  </w:num>
  <w:num w:numId="10" w16cid:durableId="1591622083">
    <w:abstractNumId w:val="2"/>
  </w:num>
  <w:num w:numId="11" w16cid:durableId="1448431803">
    <w:abstractNumId w:val="8"/>
  </w:num>
  <w:num w:numId="12" w16cid:durableId="1816141932">
    <w:abstractNumId w:val="2"/>
    <w:lvlOverride w:ilvl="0">
      <w:startOverride w:val="1"/>
    </w:lvlOverride>
  </w:num>
  <w:num w:numId="13" w16cid:durableId="1912033463">
    <w:abstractNumId w:val="3"/>
    <w:lvlOverride w:ilvl="0">
      <w:startOverride w:val="1"/>
    </w:lvlOverride>
  </w:num>
  <w:num w:numId="14" w16cid:durableId="1310548996">
    <w:abstractNumId w:val="0"/>
  </w:num>
  <w:num w:numId="15" w16cid:durableId="1673876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267B8"/>
    <w:rsid w:val="000307A3"/>
    <w:rsid w:val="000416BD"/>
    <w:rsid w:val="000736CE"/>
    <w:rsid w:val="00082B2A"/>
    <w:rsid w:val="000878AB"/>
    <w:rsid w:val="000A04ED"/>
    <w:rsid w:val="000B0FE6"/>
    <w:rsid w:val="000B272A"/>
    <w:rsid w:val="000C1D57"/>
    <w:rsid w:val="000C6F9E"/>
    <w:rsid w:val="000D28BF"/>
    <w:rsid w:val="000E4D3D"/>
    <w:rsid w:val="00114920"/>
    <w:rsid w:val="001244D0"/>
    <w:rsid w:val="00131E9D"/>
    <w:rsid w:val="00133D69"/>
    <w:rsid w:val="00136040"/>
    <w:rsid w:val="00137404"/>
    <w:rsid w:val="00165FBB"/>
    <w:rsid w:val="00181464"/>
    <w:rsid w:val="0018159A"/>
    <w:rsid w:val="00191D12"/>
    <w:rsid w:val="00200518"/>
    <w:rsid w:val="00202012"/>
    <w:rsid w:val="00220CCE"/>
    <w:rsid w:val="00223A48"/>
    <w:rsid w:val="00231C1C"/>
    <w:rsid w:val="0023635E"/>
    <w:rsid w:val="002427C8"/>
    <w:rsid w:val="00267984"/>
    <w:rsid w:val="0027066D"/>
    <w:rsid w:val="0027099B"/>
    <w:rsid w:val="002A12D5"/>
    <w:rsid w:val="002A16C3"/>
    <w:rsid w:val="002B79E1"/>
    <w:rsid w:val="002D0353"/>
    <w:rsid w:val="002E47CA"/>
    <w:rsid w:val="002F19FD"/>
    <w:rsid w:val="002F4A48"/>
    <w:rsid w:val="003059AB"/>
    <w:rsid w:val="00311D98"/>
    <w:rsid w:val="00326413"/>
    <w:rsid w:val="00333A98"/>
    <w:rsid w:val="00343320"/>
    <w:rsid w:val="00351CAD"/>
    <w:rsid w:val="003716B9"/>
    <w:rsid w:val="0039515C"/>
    <w:rsid w:val="003C2FED"/>
    <w:rsid w:val="003E06B3"/>
    <w:rsid w:val="00401323"/>
    <w:rsid w:val="004102F1"/>
    <w:rsid w:val="00457C86"/>
    <w:rsid w:val="0046389A"/>
    <w:rsid w:val="00475D2B"/>
    <w:rsid w:val="00481DAA"/>
    <w:rsid w:val="00516F80"/>
    <w:rsid w:val="005235BA"/>
    <w:rsid w:val="0052749E"/>
    <w:rsid w:val="00540853"/>
    <w:rsid w:val="00561C77"/>
    <w:rsid w:val="00563324"/>
    <w:rsid w:val="0057103B"/>
    <w:rsid w:val="005D4D21"/>
    <w:rsid w:val="005E3839"/>
    <w:rsid w:val="005F4E1D"/>
    <w:rsid w:val="005F5D8F"/>
    <w:rsid w:val="00603108"/>
    <w:rsid w:val="0063402C"/>
    <w:rsid w:val="00635F8E"/>
    <w:rsid w:val="00642C54"/>
    <w:rsid w:val="00653FF3"/>
    <w:rsid w:val="006770AE"/>
    <w:rsid w:val="006820BE"/>
    <w:rsid w:val="006D691A"/>
    <w:rsid w:val="006D790E"/>
    <w:rsid w:val="006E3591"/>
    <w:rsid w:val="007042E5"/>
    <w:rsid w:val="00722220"/>
    <w:rsid w:val="007264CC"/>
    <w:rsid w:val="00741359"/>
    <w:rsid w:val="00745C8F"/>
    <w:rsid w:val="0076357A"/>
    <w:rsid w:val="007876FC"/>
    <w:rsid w:val="007A2BF5"/>
    <w:rsid w:val="007C4F48"/>
    <w:rsid w:val="007E0273"/>
    <w:rsid w:val="00806527"/>
    <w:rsid w:val="00814733"/>
    <w:rsid w:val="00835B9C"/>
    <w:rsid w:val="0084304C"/>
    <w:rsid w:val="008469DA"/>
    <w:rsid w:val="0085087B"/>
    <w:rsid w:val="008540CC"/>
    <w:rsid w:val="00875152"/>
    <w:rsid w:val="0089187A"/>
    <w:rsid w:val="008A1B0B"/>
    <w:rsid w:val="008A63A4"/>
    <w:rsid w:val="008B0C59"/>
    <w:rsid w:val="008B194F"/>
    <w:rsid w:val="008D1C0B"/>
    <w:rsid w:val="008E09DC"/>
    <w:rsid w:val="00916644"/>
    <w:rsid w:val="00962FE8"/>
    <w:rsid w:val="00963E74"/>
    <w:rsid w:val="00966388"/>
    <w:rsid w:val="009817D9"/>
    <w:rsid w:val="009C5AF7"/>
    <w:rsid w:val="009C75A2"/>
    <w:rsid w:val="009C7848"/>
    <w:rsid w:val="009F1E12"/>
    <w:rsid w:val="00A24DCD"/>
    <w:rsid w:val="00A520DD"/>
    <w:rsid w:val="00A5348B"/>
    <w:rsid w:val="00A571EB"/>
    <w:rsid w:val="00A5740C"/>
    <w:rsid w:val="00A725C3"/>
    <w:rsid w:val="00A77A3C"/>
    <w:rsid w:val="00A77B3E"/>
    <w:rsid w:val="00AB2E98"/>
    <w:rsid w:val="00AB72ED"/>
    <w:rsid w:val="00AF5EEF"/>
    <w:rsid w:val="00B061E6"/>
    <w:rsid w:val="00B21D65"/>
    <w:rsid w:val="00B226A7"/>
    <w:rsid w:val="00B23F3F"/>
    <w:rsid w:val="00B5494F"/>
    <w:rsid w:val="00B62125"/>
    <w:rsid w:val="00B67A03"/>
    <w:rsid w:val="00B92CCB"/>
    <w:rsid w:val="00BA4A8E"/>
    <w:rsid w:val="00BE26EA"/>
    <w:rsid w:val="00BE475D"/>
    <w:rsid w:val="00BE5699"/>
    <w:rsid w:val="00BE6FE7"/>
    <w:rsid w:val="00C01C44"/>
    <w:rsid w:val="00C142E7"/>
    <w:rsid w:val="00C1703F"/>
    <w:rsid w:val="00C618E1"/>
    <w:rsid w:val="00C91FB7"/>
    <w:rsid w:val="00C95A8B"/>
    <w:rsid w:val="00CA36F5"/>
    <w:rsid w:val="00CA42C9"/>
    <w:rsid w:val="00CB17C2"/>
    <w:rsid w:val="00CD56DB"/>
    <w:rsid w:val="00CD5E3C"/>
    <w:rsid w:val="00D40FE2"/>
    <w:rsid w:val="00D42C66"/>
    <w:rsid w:val="00D45DC6"/>
    <w:rsid w:val="00D721EF"/>
    <w:rsid w:val="00DD42BA"/>
    <w:rsid w:val="00DE5A5F"/>
    <w:rsid w:val="00E001BB"/>
    <w:rsid w:val="00E06700"/>
    <w:rsid w:val="00E244DF"/>
    <w:rsid w:val="00E54AF2"/>
    <w:rsid w:val="00E67E47"/>
    <w:rsid w:val="00E70C91"/>
    <w:rsid w:val="00E73AE2"/>
    <w:rsid w:val="00EB3273"/>
    <w:rsid w:val="00EC00FD"/>
    <w:rsid w:val="00EE22CA"/>
    <w:rsid w:val="00EF065E"/>
    <w:rsid w:val="00F27540"/>
    <w:rsid w:val="00F5662A"/>
    <w:rsid w:val="00F629F3"/>
    <w:rsid w:val="00F67E06"/>
    <w:rsid w:val="00F71FC7"/>
    <w:rsid w:val="00FA42E9"/>
    <w:rsid w:val="00FE741F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3A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41F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FE741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FE741F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FE7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41F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h40uX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fEvaxX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381</Words>
  <Characters>1930</Characters>
  <Application>Microsoft Office Word</Application>
  <DocSecurity>0</DocSecurity>
  <Lines>83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Hanukkah doughnuts: interpreting practical instructions</vt:lpstr>
      <vt:lpstr>This resource is part of a collection of ideas and activities for chemistry less</vt:lpstr>
      <vt:lpstr>Learning objectives</vt:lpstr>
      <vt:lpstr>Interpret different forms for communicating practical instructions.</vt:lpstr>
      <vt:lpstr>Convert practical methods between different forms.</vt:lpstr>
      <vt:lpstr>Evaluate the advantages and disadvantages of different forms of practical instru</vt:lpstr>
      <vt:lpstr/>
      <vt:lpstr>This activity presents three different forms of practical instruction for making</vt:lpstr>
      <vt:lpstr>Students could complete a side-by-side analysis of the three forms, identifying </vt:lpstr>
      <vt:lpstr>Alternatively, students could be provided with one or two of the forms, and then</vt:lpstr>
      <vt:lpstr>Equipment</vt:lpstr>
      <vt:lpstr>Paper or electronic copies of the practical instruction forms.</vt:lpstr>
      <vt:lpstr>Paper/pen or electronic notebook to produce their own instructions.</vt:lpstr>
      <vt:lpstr>Possible answers</vt:lpstr>
      <vt:lpstr/>
      <vt:lpstr/>
    </vt:vector>
  </TitlesOfParts>
  <Manager/>
  <Company>Royal Society Of Chemistry</Company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Interpreting practical instructions_hanukkah doughnuts_teacher notes</dc:title>
  <dc:subject/>
  <dc:creator>Royal Society Of Chemistry</dc:creator>
  <cp:keywords>practical method, instructions, evaluation, cooking, chemistry</cp:keywords>
  <dc:description>From a collection of ideas and activities for chemistry lessons in the festive season https://rsc.li/3h40uXc.</dc:description>
  <cp:lastModifiedBy>Juliet Kennard</cp:lastModifiedBy>
  <cp:revision>5</cp:revision>
  <dcterms:created xsi:type="dcterms:W3CDTF">2022-11-07T16:37:00Z</dcterms:created>
  <dcterms:modified xsi:type="dcterms:W3CDTF">2022-11-08T16:23:00Z</dcterms:modified>
  <cp:category/>
</cp:coreProperties>
</file>