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47F5CB7" w:rsidR="00CA0C6F" w:rsidRDefault="008D2F84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 w:line="259" w:lineRule="auto"/>
        <w:jc w:val="left"/>
        <w:rPr>
          <w:rFonts w:ascii="Century Gothic" w:eastAsia="Century Gothic" w:hAnsi="Century Gothic" w:cs="Century Gothic"/>
          <w:b/>
          <w:color w:val="004976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004976"/>
          <w:sz w:val="36"/>
          <w:szCs w:val="36"/>
        </w:rPr>
        <w:t>The hunt for vitamin C</w:t>
      </w:r>
    </w:p>
    <w:p w14:paraId="0C4C1A28" w14:textId="24A037F7" w:rsidR="002D649D" w:rsidRDefault="00EC2533" w:rsidP="00C81199">
      <w:pPr>
        <w:pStyle w:val="RSCBasictext"/>
        <w:rPr>
          <w:rFonts w:eastAsia="Century Gothic" w:cs="Century Gothic"/>
          <w:color w:val="000000"/>
        </w:rPr>
      </w:pPr>
      <w:bookmarkStart w:id="0" w:name="_heading=h.30j0zll" w:colFirst="0" w:colLast="0"/>
      <w:bookmarkEnd w:id="0"/>
      <w:r>
        <w:rPr>
          <w:rFonts w:eastAsia="Century Gothic" w:cs="Century Gothic"/>
          <w:color w:val="000000"/>
        </w:rPr>
        <w:t>This resource accompanies the article</w:t>
      </w:r>
      <w:r>
        <w:rPr>
          <w:rFonts w:eastAsia="Century Gothic" w:cs="Century Gothic"/>
          <w:b/>
          <w:color w:val="000000"/>
        </w:rPr>
        <w:t xml:space="preserve"> </w:t>
      </w:r>
      <w:r w:rsidR="00C81199">
        <w:rPr>
          <w:rFonts w:eastAsia="Century Gothic" w:cs="Century Gothic"/>
          <w:b/>
          <w:color w:val="000000"/>
        </w:rPr>
        <w:t>Vital vitamins</w:t>
      </w:r>
      <w:r>
        <w:rPr>
          <w:rFonts w:eastAsia="Century Gothic" w:cs="Century Gothic"/>
          <w:color w:val="000000"/>
        </w:rPr>
        <w:t xml:space="preserve"> in </w:t>
      </w:r>
      <w:r>
        <w:rPr>
          <w:rFonts w:eastAsia="Century Gothic" w:cs="Century Gothic"/>
          <w:i/>
          <w:color w:val="000000"/>
        </w:rPr>
        <w:t>Education in Chemistry</w:t>
      </w:r>
      <w:r>
        <w:rPr>
          <w:rFonts w:eastAsia="Century Gothic" w:cs="Century Gothic"/>
          <w:color w:val="000000"/>
        </w:rPr>
        <w:t xml:space="preserve"> which can be viewed at </w:t>
      </w:r>
      <w:hyperlink r:id="rId8" w:history="1">
        <w:r w:rsidR="00F12621" w:rsidRPr="00A60E1C">
          <w:rPr>
            <w:rStyle w:val="Hyperlink"/>
          </w:rPr>
          <w:t>rsc.li/46meZdM</w:t>
        </w:r>
      </w:hyperlink>
      <w:r w:rsidR="00F12621">
        <w:t xml:space="preserve">. </w:t>
      </w:r>
    </w:p>
    <w:p w14:paraId="7CBDA9B6" w14:textId="1C34FBD8" w:rsidR="00C81199" w:rsidRDefault="00C81199" w:rsidP="00C81199">
      <w:pPr>
        <w:pStyle w:val="RSCBasictext"/>
        <w:rPr>
          <w:lang w:eastAsia="en-GB"/>
        </w:rPr>
      </w:pPr>
      <w:r>
        <w:t xml:space="preserve">The resource has been adapted from the book series </w:t>
      </w:r>
      <w:proofErr w:type="gramStart"/>
      <w:r w:rsidRPr="00047048">
        <w:rPr>
          <w:b/>
          <w:bCs/>
        </w:rPr>
        <w:t>In</w:t>
      </w:r>
      <w:proofErr w:type="gramEnd"/>
      <w:r w:rsidRPr="00047048">
        <w:rPr>
          <w:b/>
          <w:bCs/>
        </w:rPr>
        <w:t xml:space="preserve"> </w:t>
      </w:r>
      <w:r w:rsidR="009A1064">
        <w:rPr>
          <w:b/>
          <w:bCs/>
        </w:rPr>
        <w:t>s</w:t>
      </w:r>
      <w:r w:rsidRPr="00047048">
        <w:rPr>
          <w:b/>
          <w:bCs/>
        </w:rPr>
        <w:t xml:space="preserve">earch of </w:t>
      </w:r>
      <w:r w:rsidR="009A1064">
        <w:rPr>
          <w:b/>
          <w:bCs/>
        </w:rPr>
        <w:t>m</w:t>
      </w:r>
      <w:r w:rsidRPr="00047048">
        <w:rPr>
          <w:b/>
          <w:bCs/>
        </w:rPr>
        <w:t xml:space="preserve">ore </w:t>
      </w:r>
      <w:r w:rsidR="009A1064">
        <w:rPr>
          <w:b/>
          <w:bCs/>
        </w:rPr>
        <w:t>s</w:t>
      </w:r>
      <w:r w:rsidRPr="00047048">
        <w:rPr>
          <w:b/>
          <w:bCs/>
        </w:rPr>
        <w:t>olutions</w:t>
      </w:r>
      <w:r>
        <w:rPr>
          <w:b/>
          <w:bCs/>
        </w:rPr>
        <w:t xml:space="preserve">. </w:t>
      </w:r>
      <w:r>
        <w:t xml:space="preserve">You can find more practical problem-solving activities from this series at: </w:t>
      </w:r>
      <w:hyperlink r:id="rId9" w:history="1">
        <w:r w:rsidR="00F12621" w:rsidRPr="00A60E1C">
          <w:rPr>
            <w:rStyle w:val="Hyperlink"/>
          </w:rPr>
          <w:t>rsc.li/3Q5bsKR</w:t>
        </w:r>
      </w:hyperlink>
      <w:r>
        <w:t>.</w:t>
      </w:r>
      <w:r w:rsidR="00F12621">
        <w:t xml:space="preserve"> </w:t>
      </w:r>
    </w:p>
    <w:p w14:paraId="338520C6" w14:textId="77777777" w:rsidR="003E0E18" w:rsidRDefault="003E0E1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Century Gothic" w:eastAsia="Century Gothic" w:hAnsi="Century Gothic" w:cs="Century Gothic"/>
          <w:b/>
          <w:color w:val="004976"/>
          <w:sz w:val="28"/>
          <w:szCs w:val="28"/>
        </w:rPr>
      </w:pPr>
    </w:p>
    <w:p w14:paraId="4CEAF70D" w14:textId="6C8B3535" w:rsidR="003D0645" w:rsidRDefault="003E0E1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4976"/>
          <w:sz w:val="28"/>
          <w:szCs w:val="28"/>
        </w:rPr>
        <w:t>Introduction</w:t>
      </w:r>
      <w:bookmarkStart w:id="1" w:name="_heading=h.1fob9te" w:colFirst="0" w:colLast="0"/>
      <w:bookmarkEnd w:id="1"/>
    </w:p>
    <w:p w14:paraId="00000009" w14:textId="2A26EDD1" w:rsidR="00CA0C6F" w:rsidRDefault="00EC253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Read our standard health and safety guidance (</w:t>
      </w:r>
      <w:hyperlink r:id="rId10">
        <w:r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rsc.li/3IAmFA0</w:t>
        </w:r>
      </w:hyperlink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) and carry out a risk assessment before running any live practical. See the </w:t>
      </w:r>
      <w:r w:rsidR="00FA6AE3"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t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eacher notes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for further instructions and the </w:t>
      </w:r>
      <w:r w:rsidR="00117C7E"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s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tudent sheets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for partial instructions to carry out the problem-solving experiment.</w:t>
      </w:r>
    </w:p>
    <w:p w14:paraId="0000000A" w14:textId="77777777" w:rsidR="00CA0C6F" w:rsidRDefault="00EC2533">
      <w:pPr>
        <w:pBdr>
          <w:top w:val="nil"/>
          <w:left w:val="nil"/>
          <w:bottom w:val="nil"/>
          <w:right w:val="nil"/>
          <w:between w:val="nil"/>
        </w:pBdr>
        <w:spacing w:before="300" w:line="259" w:lineRule="auto"/>
        <w:jc w:val="left"/>
        <w:rPr>
          <w:rFonts w:ascii="Century Gothic" w:eastAsia="Century Gothic" w:hAnsi="Century Gothic" w:cs="Century Gothic"/>
          <w:b/>
          <w:color w:val="004976"/>
          <w:sz w:val="22"/>
          <w:szCs w:val="22"/>
        </w:rPr>
        <w:sectPr w:rsidR="00CA0C6F">
          <w:headerReference w:type="default" r:id="rId11"/>
          <w:footerReference w:type="default" r:id="rId12"/>
          <w:pgSz w:w="11906" w:h="16838"/>
          <w:pgMar w:top="1701" w:right="1440" w:bottom="1440" w:left="1440" w:header="431" w:footer="533" w:gutter="0"/>
          <w:pgNumType w:start="1"/>
          <w:cols w:space="720"/>
        </w:sectPr>
      </w:pPr>
      <w:r>
        <w:rPr>
          <w:rFonts w:ascii="Century Gothic" w:eastAsia="Century Gothic" w:hAnsi="Century Gothic" w:cs="Century Gothic"/>
          <w:b/>
          <w:color w:val="004976"/>
          <w:sz w:val="22"/>
          <w:szCs w:val="22"/>
        </w:rPr>
        <w:t xml:space="preserve">Available equipment </w:t>
      </w:r>
    </w:p>
    <w:p w14:paraId="0000000B" w14:textId="77777777" w:rsidR="00CA0C6F" w:rsidRDefault="00EC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Filter funnel</w:t>
      </w:r>
    </w:p>
    <w:p w14:paraId="0000000C" w14:textId="77777777" w:rsidR="00CA0C6F" w:rsidRDefault="00EC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Muslin or glass wool</w:t>
      </w:r>
    </w:p>
    <w:p w14:paraId="0000000D" w14:textId="77777777" w:rsidR="00CA0C6F" w:rsidRDefault="00EC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25 cm</w:t>
      </w:r>
      <w:r>
        <w:rPr>
          <w:rFonts w:ascii="Century Gothic" w:eastAsia="Century Gothic" w:hAnsi="Century Gothic" w:cs="Century Gothic"/>
          <w:color w:val="000000"/>
          <w:sz w:val="22"/>
          <w:szCs w:val="22"/>
          <w:vertAlign w:val="superscript"/>
        </w:rPr>
        <w:t>3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pipette and safety filler</w:t>
      </w:r>
    </w:p>
    <w:p w14:paraId="0000000E" w14:textId="77777777" w:rsidR="00CA0C6F" w:rsidRDefault="00EC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50 cm</w:t>
      </w:r>
      <w:r>
        <w:rPr>
          <w:rFonts w:ascii="Century Gothic" w:eastAsia="Century Gothic" w:hAnsi="Century Gothic" w:cs="Century Gothic"/>
          <w:color w:val="000000"/>
          <w:sz w:val="22"/>
          <w:szCs w:val="22"/>
          <w:vertAlign w:val="superscript"/>
        </w:rPr>
        <w:t>3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burette</w:t>
      </w:r>
    </w:p>
    <w:p w14:paraId="0000000F" w14:textId="77777777" w:rsidR="00CA0C6F" w:rsidRDefault="00EC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250 cm</w:t>
      </w:r>
      <w:r>
        <w:rPr>
          <w:rFonts w:ascii="Century Gothic" w:eastAsia="Century Gothic" w:hAnsi="Century Gothic" w:cs="Century Gothic"/>
          <w:color w:val="000000"/>
          <w:sz w:val="22"/>
          <w:szCs w:val="22"/>
          <w:vertAlign w:val="superscript"/>
        </w:rPr>
        <w:t>3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conical flask</w:t>
      </w:r>
    </w:p>
    <w:p w14:paraId="00000010" w14:textId="288CF581" w:rsidR="00CA0C6F" w:rsidRDefault="00EC2533">
      <w:pPr>
        <w:numPr>
          <w:ilvl w:val="0"/>
          <w:numId w:val="1"/>
        </w:numPr>
        <w:jc w:val="left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sz w:val="22"/>
          <w:szCs w:val="22"/>
        </w:rPr>
        <w:t>25 cm</w:t>
      </w:r>
      <w:r>
        <w:rPr>
          <w:rFonts w:ascii="Century Gothic" w:eastAsia="Century Gothic" w:hAnsi="Century Gothic" w:cs="Century Gothic"/>
          <w:sz w:val="22"/>
          <w:szCs w:val="22"/>
          <w:vertAlign w:val="superscript"/>
        </w:rPr>
        <w:t>3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measuring </w:t>
      </w: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>cylinder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00000011" w14:textId="77777777" w:rsidR="00CA0C6F" w:rsidRDefault="00EC2533">
      <w:pPr>
        <w:numPr>
          <w:ilvl w:val="0"/>
          <w:numId w:val="1"/>
        </w:numPr>
        <w:jc w:val="left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sz w:val="22"/>
          <w:szCs w:val="22"/>
        </w:rPr>
        <w:t>100 cm</w:t>
      </w:r>
      <w:r>
        <w:rPr>
          <w:rFonts w:ascii="Century Gothic" w:eastAsia="Century Gothic" w:hAnsi="Century Gothic" w:cs="Century Gothic"/>
          <w:sz w:val="22"/>
          <w:szCs w:val="22"/>
          <w:vertAlign w:val="superscript"/>
        </w:rPr>
        <w:t>3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 measuring </w:t>
      </w:r>
      <w:proofErr w:type="gramStart"/>
      <w:r>
        <w:rPr>
          <w:rFonts w:ascii="Century Gothic" w:eastAsia="Century Gothic" w:hAnsi="Century Gothic" w:cs="Century Gothic"/>
          <w:sz w:val="22"/>
          <w:szCs w:val="22"/>
        </w:rPr>
        <w:t>cylinder</w:t>
      </w:r>
      <w:proofErr w:type="gramEnd"/>
      <w:r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00000012" w14:textId="77777777" w:rsidR="00CA0C6F" w:rsidRDefault="00EC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500 cm</w:t>
      </w:r>
      <w:r>
        <w:rPr>
          <w:rFonts w:ascii="Century Gothic" w:eastAsia="Century Gothic" w:hAnsi="Century Gothic" w:cs="Century Gothic"/>
          <w:color w:val="000000"/>
          <w:sz w:val="22"/>
          <w:szCs w:val="22"/>
          <w:vertAlign w:val="superscript"/>
        </w:rPr>
        <w:t>3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measuring </w:t>
      </w:r>
      <w:proofErr w:type="gramStart"/>
      <w:r>
        <w:rPr>
          <w:rFonts w:ascii="Century Gothic" w:eastAsia="Century Gothic" w:hAnsi="Century Gothic" w:cs="Century Gothic"/>
          <w:color w:val="000000"/>
          <w:sz w:val="22"/>
          <w:szCs w:val="22"/>
        </w:rPr>
        <w:t>cylinder</w:t>
      </w:r>
      <w:proofErr w:type="gramEnd"/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</w:t>
      </w:r>
    </w:p>
    <w:p w14:paraId="00000013" w14:textId="77777777" w:rsidR="00CA0C6F" w:rsidRDefault="00EC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250 cm</w:t>
      </w:r>
      <w:r>
        <w:rPr>
          <w:rFonts w:ascii="Century Gothic" w:eastAsia="Century Gothic" w:hAnsi="Century Gothic" w:cs="Century Gothic"/>
          <w:color w:val="000000"/>
          <w:sz w:val="22"/>
          <w:szCs w:val="22"/>
          <w:vertAlign w:val="superscript"/>
        </w:rPr>
        <w:t>3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beaker</w:t>
      </w:r>
    </w:p>
    <w:p w14:paraId="00000014" w14:textId="77777777" w:rsidR="00CA0C6F" w:rsidRDefault="00EC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Bunsen burner, tripod and gauze</w:t>
      </w:r>
    </w:p>
    <w:p w14:paraId="00000015" w14:textId="77777777" w:rsidR="00CA0C6F" w:rsidRDefault="00EC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Safety glasses</w:t>
      </w:r>
    </w:p>
    <w:p w14:paraId="00000016" w14:textId="77777777" w:rsidR="00CA0C6F" w:rsidRDefault="00EC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Liquidiser</w:t>
      </w:r>
    </w:p>
    <w:p w14:paraId="00000017" w14:textId="77777777" w:rsidR="00CA0C6F" w:rsidRDefault="00EC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sectPr w:rsidR="00CA0C6F">
          <w:type w:val="continuous"/>
          <w:pgSz w:w="11906" w:h="16838"/>
          <w:pgMar w:top="1701" w:right="1440" w:bottom="1440" w:left="1440" w:header="431" w:footer="533" w:gutter="0"/>
          <w:cols w:num="2" w:space="720" w:equalWidth="0">
            <w:col w:w="4159" w:space="708"/>
            <w:col w:w="4159" w:space="0"/>
          </w:cols>
        </w:sect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Safety equipment: safety glasses</w:t>
      </w:r>
    </w:p>
    <w:p w14:paraId="00000018" w14:textId="77777777" w:rsidR="00CA0C6F" w:rsidRDefault="00EC2533">
      <w:pPr>
        <w:pBdr>
          <w:top w:val="nil"/>
          <w:left w:val="nil"/>
          <w:bottom w:val="nil"/>
          <w:right w:val="nil"/>
          <w:between w:val="nil"/>
        </w:pBdr>
        <w:spacing w:before="300" w:line="259" w:lineRule="auto"/>
        <w:jc w:val="left"/>
        <w:rPr>
          <w:rFonts w:ascii="Century Gothic" w:eastAsia="Century Gothic" w:hAnsi="Century Gothic" w:cs="Century Gothic"/>
          <w:b/>
          <w:color w:val="004976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4976"/>
          <w:sz w:val="22"/>
          <w:szCs w:val="22"/>
        </w:rPr>
        <w:t>Preparation and safety</w:t>
      </w:r>
    </w:p>
    <w:p w14:paraId="00000019" w14:textId="77777777" w:rsidR="00CA0C6F" w:rsidRDefault="00EC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100 g of green cabbage </w:t>
      </w:r>
    </w:p>
    <w:p w14:paraId="0000001B" w14:textId="3CE9ED5F" w:rsidR="00CA0C6F" w:rsidRDefault="00EC2533" w:rsidP="00436B6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3"/>
        <w:jc w:val="lef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(With a large class provide students with </w:t>
      </w:r>
      <w:r w:rsidR="004A056B">
        <w:rPr>
          <w:rFonts w:ascii="Century Gothic" w:eastAsia="Century Gothic" w:hAnsi="Century Gothic" w:cs="Century Gothic"/>
          <w:sz w:val="22"/>
          <w:szCs w:val="22"/>
        </w:rPr>
        <w:t>pre-</w:t>
      </w:r>
      <w:r>
        <w:rPr>
          <w:rFonts w:ascii="Century Gothic" w:eastAsia="Century Gothic" w:hAnsi="Century Gothic" w:cs="Century Gothic"/>
          <w:sz w:val="22"/>
          <w:szCs w:val="22"/>
        </w:rPr>
        <w:t>shredded cabbage and allow them to weigh out 100</w:t>
      </w:r>
      <w:r w:rsidR="004A056B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sz w:val="22"/>
          <w:szCs w:val="22"/>
        </w:rPr>
        <w:t>g).</w:t>
      </w:r>
    </w:p>
    <w:p w14:paraId="1952F555" w14:textId="37BFFBD9" w:rsidR="00CA0C6F" w:rsidRPr="00C81199" w:rsidRDefault="00EC2533" w:rsidP="00C811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outlineLvl w:val="9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 w:rsidRPr="00C81199">
        <w:rPr>
          <w:rFonts w:ascii="Century Gothic" w:eastAsia="Century Gothic" w:hAnsi="Century Gothic" w:cs="Century Gothic"/>
          <w:color w:val="000000"/>
          <w:sz w:val="22"/>
          <w:szCs w:val="22"/>
        </w:rPr>
        <w:t>Deionised water to ensure no dissolved oxygen interferes with the vitamin C content</w:t>
      </w:r>
      <w:r w:rsidR="00117C7E" w:rsidRPr="00C81199"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  <w:r w:rsidR="00436B61" w:rsidRPr="00C81199">
        <w:rPr>
          <w:rFonts w:ascii="Century Gothic" w:eastAsia="Century Gothic" w:hAnsi="Century Gothic" w:cs="Century Gothic"/>
          <w:color w:val="000000"/>
          <w:sz w:val="22"/>
          <w:szCs w:val="22"/>
        </w:rPr>
        <w:br w:type="page"/>
      </w:r>
    </w:p>
    <w:tbl>
      <w:tblPr>
        <w:tblStyle w:val="a"/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673"/>
        <w:gridCol w:w="4343"/>
      </w:tblGrid>
      <w:tr w:rsidR="00CA0C6F" w14:paraId="6143BAE8" w14:textId="77777777" w:rsidTr="00C81199">
        <w:trPr>
          <w:trHeight w:val="482"/>
          <w:jc w:val="center"/>
        </w:trPr>
        <w:tc>
          <w:tcPr>
            <w:tcW w:w="4673" w:type="dxa"/>
            <w:shd w:val="clear" w:color="auto" w:fill="BFDDE8"/>
            <w:vAlign w:val="center"/>
          </w:tcPr>
          <w:p w14:paraId="0000001F" w14:textId="77777777" w:rsidR="00CA0C6F" w:rsidRDefault="00EC2533">
            <w:pPr>
              <w:ind w:left="22" w:firstLine="0"/>
              <w:rPr>
                <w:rFonts w:ascii="Century Gothic" w:eastAsia="Century Gothic" w:hAnsi="Century Gothic" w:cs="Century Gothic"/>
                <w:b/>
                <w:color w:val="004976"/>
              </w:rPr>
            </w:pPr>
            <w:r>
              <w:rPr>
                <w:rFonts w:ascii="Century Gothic" w:eastAsia="Century Gothic" w:hAnsi="Century Gothic" w:cs="Century Gothic"/>
                <w:b/>
                <w:color w:val="004976"/>
              </w:rPr>
              <w:lastRenderedPageBreak/>
              <w:t>Chemicals supplied for the practical</w:t>
            </w:r>
          </w:p>
        </w:tc>
        <w:tc>
          <w:tcPr>
            <w:tcW w:w="4343" w:type="dxa"/>
            <w:shd w:val="clear" w:color="auto" w:fill="BFDDE8"/>
            <w:vAlign w:val="center"/>
          </w:tcPr>
          <w:p w14:paraId="00000020" w14:textId="77777777" w:rsidR="00CA0C6F" w:rsidRDefault="00EC2533">
            <w:pPr>
              <w:ind w:left="22" w:firstLine="0"/>
              <w:rPr>
                <w:rFonts w:ascii="Century Gothic" w:eastAsia="Century Gothic" w:hAnsi="Century Gothic" w:cs="Century Gothic"/>
                <w:b/>
                <w:color w:val="004976"/>
              </w:rPr>
            </w:pPr>
            <w:r>
              <w:rPr>
                <w:rFonts w:ascii="Century Gothic" w:eastAsia="Century Gothic" w:hAnsi="Century Gothic" w:cs="Century Gothic"/>
                <w:b/>
                <w:color w:val="004976"/>
              </w:rPr>
              <w:t>Preparation</w:t>
            </w:r>
          </w:p>
        </w:tc>
      </w:tr>
      <w:tr w:rsidR="00CA0C6F" w14:paraId="7E6653B5" w14:textId="77777777" w:rsidTr="00C81199">
        <w:trPr>
          <w:trHeight w:val="482"/>
          <w:jc w:val="center"/>
        </w:trPr>
        <w:tc>
          <w:tcPr>
            <w:tcW w:w="4673" w:type="dxa"/>
          </w:tcPr>
          <w:p w14:paraId="00000021" w14:textId="1515162A" w:rsidR="00CA0C6F" w:rsidRPr="00C81199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Phosphoric acid solution, 5% solution, equivalent to about 0.9 mol dm</w:t>
            </w:r>
            <w:r>
              <w:rPr>
                <w:rFonts w:ascii="Century Gothic" w:eastAsia="Century Gothic" w:hAnsi="Century Gothic" w:cs="Century Gothic"/>
                <w:vertAlign w:val="superscript"/>
              </w:rPr>
              <w:t>-3</w:t>
            </w:r>
            <w:r w:rsidR="00B21DEA">
              <w:rPr>
                <w:rFonts w:ascii="Century Gothic" w:eastAsia="Century Gothic" w:hAnsi="Century Gothic" w:cs="Century Gothic"/>
              </w:rPr>
              <w:t>.</w:t>
            </w:r>
          </w:p>
          <w:p w14:paraId="00000022" w14:textId="77777777" w:rsidR="00CA0C6F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</w:t>
            </w:r>
            <w:r>
              <w:rPr>
                <w:rFonts w:ascii="Century Gothic" w:eastAsia="Century Gothic" w:hAnsi="Century Gothic" w:cs="Century Gothic"/>
                <w:vertAlign w:val="subscript"/>
              </w:rPr>
              <w:t>3</w:t>
            </w:r>
            <w:r>
              <w:rPr>
                <w:rFonts w:ascii="Century Gothic" w:eastAsia="Century Gothic" w:hAnsi="Century Gothic" w:cs="Century Gothic"/>
              </w:rPr>
              <w:t>PO</w:t>
            </w:r>
            <w:r>
              <w:rPr>
                <w:rFonts w:ascii="Century Gothic" w:eastAsia="Century Gothic" w:hAnsi="Century Gothic" w:cs="Century Gothic"/>
                <w:vertAlign w:val="subscript"/>
              </w:rPr>
              <w:t>4</w:t>
            </w:r>
            <w:r>
              <w:rPr>
                <w:rFonts w:ascii="Century Gothic" w:eastAsia="Century Gothic" w:hAnsi="Century Gothic" w:cs="Century Gothic"/>
              </w:rPr>
              <w:t>(aq)</w:t>
            </w:r>
          </w:p>
          <w:p w14:paraId="00000023" w14:textId="77777777" w:rsidR="00CA0C6F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Currently not classified as hazardous.</w:t>
            </w:r>
          </w:p>
          <w:p w14:paraId="00000024" w14:textId="77777777" w:rsidR="00CA0C6F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CLEAPSS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hazcard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HC072.</w:t>
            </w:r>
          </w:p>
        </w:tc>
        <w:tc>
          <w:tcPr>
            <w:tcW w:w="4343" w:type="dxa"/>
          </w:tcPr>
          <w:p w14:paraId="00000025" w14:textId="77777777" w:rsidR="00CA0C6F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Phosphoric acid concentrated solution.</w:t>
            </w:r>
          </w:p>
          <w:p w14:paraId="00000026" w14:textId="77777777" w:rsidR="00CA0C6F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</w:t>
            </w:r>
            <w:r>
              <w:rPr>
                <w:rFonts w:ascii="Century Gothic" w:eastAsia="Century Gothic" w:hAnsi="Century Gothic" w:cs="Century Gothic"/>
                <w:vertAlign w:val="subscript"/>
              </w:rPr>
              <w:t>3</w:t>
            </w:r>
            <w:r>
              <w:rPr>
                <w:rFonts w:ascii="Century Gothic" w:eastAsia="Century Gothic" w:hAnsi="Century Gothic" w:cs="Century Gothic"/>
              </w:rPr>
              <w:t>PO</w:t>
            </w:r>
            <w:r>
              <w:rPr>
                <w:rFonts w:ascii="Century Gothic" w:eastAsia="Century Gothic" w:hAnsi="Century Gothic" w:cs="Century Gothic"/>
                <w:vertAlign w:val="subscript"/>
              </w:rPr>
              <w:t>4</w:t>
            </w:r>
            <w:r>
              <w:rPr>
                <w:rFonts w:ascii="Century Gothic" w:eastAsia="Century Gothic" w:hAnsi="Century Gothic" w:cs="Century Gothic"/>
              </w:rPr>
              <w:t>(l)</w:t>
            </w:r>
          </w:p>
          <w:p w14:paraId="00000027" w14:textId="77777777" w:rsidR="00CA0C6F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The usual concentrated commercial solution is about 85% (w/w) which is equivalent to 14.7 mol dm</w:t>
            </w:r>
            <w:r>
              <w:rPr>
                <w:vertAlign w:val="superscript"/>
              </w:rPr>
              <w:t>‒</w:t>
            </w:r>
            <w:r>
              <w:rPr>
                <w:rFonts w:ascii="Century Gothic" w:eastAsia="Century Gothic" w:hAnsi="Century Gothic" w:cs="Century Gothic"/>
                <w:vertAlign w:val="superscript"/>
              </w:rPr>
              <w:t>3</w:t>
            </w:r>
            <w:r>
              <w:rPr>
                <w:rFonts w:ascii="Century Gothic" w:eastAsia="Century Gothic" w:hAnsi="Century Gothic" w:cs="Century Gothic"/>
              </w:rPr>
              <w:t>. Check information from supplier.</w:t>
            </w:r>
          </w:p>
          <w:p w14:paraId="00000028" w14:textId="77777777" w:rsidR="00CA0C6F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MW = 97.99 g mol</w:t>
            </w:r>
            <w:r>
              <w:rPr>
                <w:rFonts w:ascii="Century Gothic" w:eastAsia="Century Gothic" w:hAnsi="Century Gothic" w:cs="Century Gothic"/>
                <w:vertAlign w:val="superscript"/>
              </w:rPr>
              <w:t>-1</w:t>
            </w:r>
          </w:p>
          <w:p w14:paraId="00000029" w14:textId="77777777" w:rsidR="00CA0C6F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vertAlign w:val="superscript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noProof/>
                <w:vertAlign w:val="superscript"/>
              </w:rPr>
              <w:drawing>
                <wp:inline distT="0" distB="0" distL="0" distR="0" wp14:anchorId="7FFF1D69" wp14:editId="79183F46">
                  <wp:extent cx="360000" cy="360000"/>
                  <wp:effectExtent l="0" t="0" r="0" b="0"/>
                  <wp:docPr id="1957173185" name="image1.png" descr="Irritant hazard symb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rritant hazard symbol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00002A" w14:textId="77777777" w:rsidR="00CA0C6F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DANGER</w:t>
            </w:r>
          </w:p>
          <w:p w14:paraId="0000002B" w14:textId="16E9DD15" w:rsidR="00CA0C6F" w:rsidRDefault="00EC2533">
            <w:pPr>
              <w:ind w:left="0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Causes severe burn</w:t>
            </w:r>
            <w:r w:rsidR="002D0C28">
              <w:rPr>
                <w:rFonts w:ascii="Century Gothic" w:eastAsia="Century Gothic" w:hAnsi="Century Gothic" w:cs="Century Gothic"/>
              </w:rPr>
              <w:t>s</w:t>
            </w:r>
            <w:r>
              <w:rPr>
                <w:rFonts w:ascii="Century Gothic" w:eastAsia="Century Gothic" w:hAnsi="Century Gothic" w:cs="Century Gothic"/>
              </w:rPr>
              <w:t xml:space="preserve"> and eye damage.</w:t>
            </w:r>
          </w:p>
          <w:p w14:paraId="0000002C" w14:textId="77777777" w:rsidR="00CA0C6F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Wear splash-proof goggles and chemical-resistant gloves.</w:t>
            </w:r>
          </w:p>
          <w:p w14:paraId="0000002D" w14:textId="77777777" w:rsidR="00CA0C6F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CLEAPSS recipe book RB065.</w:t>
            </w:r>
          </w:p>
        </w:tc>
      </w:tr>
      <w:tr w:rsidR="00CA0C6F" w14:paraId="36A64981" w14:textId="77777777" w:rsidTr="00C81199">
        <w:trPr>
          <w:trHeight w:val="482"/>
          <w:jc w:val="center"/>
        </w:trPr>
        <w:tc>
          <w:tcPr>
            <w:tcW w:w="4673" w:type="dxa"/>
          </w:tcPr>
          <w:p w14:paraId="0000002E" w14:textId="11ECBC17" w:rsidR="00CA0C6F" w:rsidRPr="00C81199" w:rsidRDefault="00EC2533">
            <w:pPr>
              <w:ind w:left="0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2, 6-</w:t>
            </w:r>
            <w:r w:rsidR="002D0C28">
              <w:rPr>
                <w:rFonts w:ascii="Century Gothic" w:eastAsia="Century Gothic" w:hAnsi="Century Gothic" w:cs="Century Gothic"/>
              </w:rPr>
              <w:t>D</w:t>
            </w:r>
            <w:r>
              <w:rPr>
                <w:rFonts w:ascii="Century Gothic" w:eastAsia="Century Gothic" w:hAnsi="Century Gothic" w:cs="Century Gothic"/>
              </w:rPr>
              <w:t>ichlorophenolindophenol (DCPIP) solution, 0.4 g dm</w:t>
            </w:r>
            <w:r>
              <w:rPr>
                <w:rFonts w:ascii="Century Gothic" w:eastAsia="Century Gothic" w:hAnsi="Century Gothic" w:cs="Century Gothic"/>
                <w:vertAlign w:val="superscript"/>
              </w:rPr>
              <w:t>-3</w:t>
            </w:r>
            <w:r w:rsidR="00B21DEA">
              <w:rPr>
                <w:rFonts w:ascii="Century Gothic" w:eastAsia="Century Gothic" w:hAnsi="Century Gothic" w:cs="Century Gothic"/>
              </w:rPr>
              <w:t>.</w:t>
            </w:r>
          </w:p>
          <w:p w14:paraId="0000002F" w14:textId="77777777" w:rsidR="00CA0C6F" w:rsidRDefault="00EC2533" w:rsidP="00C81199">
            <w:pPr>
              <w:ind w:left="0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202124"/>
                <w:highlight w:val="white"/>
              </w:rPr>
              <w:t>C</w:t>
            </w:r>
            <w:r>
              <w:rPr>
                <w:rFonts w:ascii="Century Gothic" w:eastAsia="Century Gothic" w:hAnsi="Century Gothic" w:cs="Century Gothic"/>
                <w:color w:val="202124"/>
                <w:highlight w:val="white"/>
                <w:vertAlign w:val="subscript"/>
              </w:rPr>
              <w:t>12</w:t>
            </w:r>
            <w:r>
              <w:rPr>
                <w:rFonts w:ascii="Century Gothic" w:eastAsia="Century Gothic" w:hAnsi="Century Gothic" w:cs="Century Gothic"/>
                <w:color w:val="202124"/>
                <w:highlight w:val="white"/>
              </w:rPr>
              <w:t>H</w:t>
            </w:r>
            <w:r>
              <w:rPr>
                <w:rFonts w:ascii="Century Gothic" w:eastAsia="Century Gothic" w:hAnsi="Century Gothic" w:cs="Century Gothic"/>
                <w:color w:val="202124"/>
                <w:highlight w:val="white"/>
                <w:vertAlign w:val="subscript"/>
              </w:rPr>
              <w:t>7</w:t>
            </w:r>
            <w:r>
              <w:rPr>
                <w:rFonts w:ascii="Century Gothic" w:eastAsia="Century Gothic" w:hAnsi="Century Gothic" w:cs="Century Gothic"/>
                <w:color w:val="202124"/>
                <w:highlight w:val="white"/>
              </w:rPr>
              <w:t>NCl</w:t>
            </w:r>
            <w:r>
              <w:rPr>
                <w:rFonts w:ascii="Century Gothic" w:eastAsia="Century Gothic" w:hAnsi="Century Gothic" w:cs="Century Gothic"/>
                <w:color w:val="202124"/>
                <w:highlight w:val="white"/>
                <w:vertAlign w:val="subscript"/>
              </w:rPr>
              <w:t>2</w:t>
            </w:r>
            <w:r>
              <w:rPr>
                <w:rFonts w:ascii="Century Gothic" w:eastAsia="Century Gothic" w:hAnsi="Century Gothic" w:cs="Century Gothic"/>
                <w:color w:val="202124"/>
                <w:highlight w:val="white"/>
              </w:rPr>
              <w:t>O</w:t>
            </w:r>
            <w:r>
              <w:rPr>
                <w:rFonts w:ascii="Century Gothic" w:eastAsia="Century Gothic" w:hAnsi="Century Gothic" w:cs="Century Gothic"/>
                <w:color w:val="202124"/>
                <w:highlight w:val="white"/>
                <w:vertAlign w:val="subscript"/>
              </w:rPr>
              <w:t>2</w:t>
            </w:r>
            <w:r>
              <w:rPr>
                <w:rFonts w:ascii="Century Gothic" w:eastAsia="Century Gothic" w:hAnsi="Century Gothic" w:cs="Century Gothic"/>
              </w:rPr>
              <w:t>(aq)</w:t>
            </w:r>
          </w:p>
          <w:p w14:paraId="00000030" w14:textId="77777777" w:rsidR="00CA0C6F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202124"/>
                <w:highlight w:val="white"/>
              </w:rPr>
              <w:t>Not usually considered as hazardous. Check the supplier’s SDS.</w:t>
            </w:r>
          </w:p>
          <w:p w14:paraId="00000031" w14:textId="77777777" w:rsidR="00CA0C6F" w:rsidRDefault="00EC2533" w:rsidP="00C81199">
            <w:pPr>
              <w:ind w:left="0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CLEAPSS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hazcard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HC032.</w:t>
            </w:r>
          </w:p>
          <w:p w14:paraId="00000032" w14:textId="77777777" w:rsidR="00CA0C6F" w:rsidRDefault="00CA0C6F">
            <w:pPr>
              <w:ind w:left="357" w:firstLine="0"/>
              <w:jc w:val="left"/>
              <w:rPr>
                <w:rFonts w:ascii="Century Gothic" w:eastAsia="Century Gothic" w:hAnsi="Century Gothic" w:cs="Century Gothic"/>
              </w:rPr>
            </w:pPr>
          </w:p>
          <w:p w14:paraId="00000033" w14:textId="77777777" w:rsidR="00CA0C6F" w:rsidRDefault="00CA0C6F">
            <w:pPr>
              <w:ind w:left="357" w:firstLine="0"/>
              <w:jc w:val="lef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343" w:type="dxa"/>
          </w:tcPr>
          <w:p w14:paraId="00000034" w14:textId="41F881CB" w:rsidR="00CA0C6F" w:rsidRDefault="00EC2533">
            <w:pPr>
              <w:ind w:left="0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2, 6-</w:t>
            </w:r>
            <w:r w:rsidR="002D0C28">
              <w:rPr>
                <w:rFonts w:ascii="Century Gothic" w:eastAsia="Century Gothic" w:hAnsi="Century Gothic" w:cs="Century Gothic"/>
              </w:rPr>
              <w:t>D</w:t>
            </w:r>
            <w:r>
              <w:rPr>
                <w:rFonts w:ascii="Century Gothic" w:eastAsia="Century Gothic" w:hAnsi="Century Gothic" w:cs="Century Gothic"/>
              </w:rPr>
              <w:t>ichlorophenolindophenol (DCPIP), solid</w:t>
            </w:r>
            <w:r w:rsidR="00B21DEA">
              <w:rPr>
                <w:rFonts w:ascii="Century Gothic" w:eastAsia="Century Gothic" w:hAnsi="Century Gothic" w:cs="Century Gothic"/>
              </w:rPr>
              <w:t>.</w:t>
            </w:r>
          </w:p>
          <w:p w14:paraId="00000035" w14:textId="77777777" w:rsidR="00CA0C6F" w:rsidRDefault="00EC2533" w:rsidP="00C81199">
            <w:pPr>
              <w:ind w:left="0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202124"/>
                <w:highlight w:val="white"/>
              </w:rPr>
              <w:t>C</w:t>
            </w:r>
            <w:r>
              <w:rPr>
                <w:rFonts w:ascii="Century Gothic" w:eastAsia="Century Gothic" w:hAnsi="Century Gothic" w:cs="Century Gothic"/>
                <w:color w:val="202124"/>
                <w:highlight w:val="white"/>
                <w:vertAlign w:val="subscript"/>
              </w:rPr>
              <w:t>12</w:t>
            </w:r>
            <w:r>
              <w:rPr>
                <w:rFonts w:ascii="Century Gothic" w:eastAsia="Century Gothic" w:hAnsi="Century Gothic" w:cs="Century Gothic"/>
                <w:color w:val="202124"/>
                <w:highlight w:val="white"/>
              </w:rPr>
              <w:t>H</w:t>
            </w:r>
            <w:r>
              <w:rPr>
                <w:rFonts w:ascii="Century Gothic" w:eastAsia="Century Gothic" w:hAnsi="Century Gothic" w:cs="Century Gothic"/>
                <w:color w:val="202124"/>
                <w:highlight w:val="white"/>
                <w:vertAlign w:val="subscript"/>
              </w:rPr>
              <w:t>7</w:t>
            </w:r>
            <w:r>
              <w:rPr>
                <w:rFonts w:ascii="Century Gothic" w:eastAsia="Century Gothic" w:hAnsi="Century Gothic" w:cs="Century Gothic"/>
                <w:color w:val="202124"/>
                <w:highlight w:val="white"/>
              </w:rPr>
              <w:t>NCl</w:t>
            </w:r>
            <w:r>
              <w:rPr>
                <w:rFonts w:ascii="Century Gothic" w:eastAsia="Century Gothic" w:hAnsi="Century Gothic" w:cs="Century Gothic"/>
                <w:color w:val="202124"/>
                <w:highlight w:val="white"/>
                <w:vertAlign w:val="subscript"/>
              </w:rPr>
              <w:t>2</w:t>
            </w:r>
            <w:r>
              <w:rPr>
                <w:rFonts w:ascii="Century Gothic" w:eastAsia="Century Gothic" w:hAnsi="Century Gothic" w:cs="Century Gothic"/>
                <w:color w:val="202124"/>
                <w:highlight w:val="white"/>
              </w:rPr>
              <w:t>O</w:t>
            </w:r>
            <w:r>
              <w:rPr>
                <w:rFonts w:ascii="Century Gothic" w:eastAsia="Century Gothic" w:hAnsi="Century Gothic" w:cs="Century Gothic"/>
                <w:color w:val="202124"/>
                <w:highlight w:val="white"/>
                <w:vertAlign w:val="subscript"/>
              </w:rPr>
              <w:t>2</w:t>
            </w:r>
            <w:r>
              <w:rPr>
                <w:rFonts w:ascii="Century Gothic" w:eastAsia="Century Gothic" w:hAnsi="Century Gothic" w:cs="Century Gothic"/>
              </w:rPr>
              <w:t>(s)</w:t>
            </w:r>
          </w:p>
          <w:p w14:paraId="00000036" w14:textId="77777777" w:rsidR="00CA0C6F" w:rsidRDefault="00EC2533" w:rsidP="00C81199">
            <w:pPr>
              <w:ind w:left="0" w:firstLine="0"/>
              <w:jc w:val="left"/>
              <w:rPr>
                <w:rFonts w:ascii="Century Gothic" w:eastAsia="Century Gothic" w:hAnsi="Century Gothic" w:cs="Century Gothic"/>
                <w:color w:val="202124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202124"/>
                <w:highlight w:val="white"/>
              </w:rPr>
              <w:t>MW = 268.1 g mol</w:t>
            </w:r>
            <w:r>
              <w:rPr>
                <w:rFonts w:ascii="Century Gothic" w:eastAsia="Century Gothic" w:hAnsi="Century Gothic" w:cs="Century Gothic"/>
                <w:color w:val="202124"/>
                <w:highlight w:val="white"/>
                <w:vertAlign w:val="superscript"/>
              </w:rPr>
              <w:t>-1</w:t>
            </w:r>
          </w:p>
          <w:p w14:paraId="00000037" w14:textId="77777777" w:rsidR="00CA0C6F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color w:val="202124"/>
                <w:highlight w:val="white"/>
              </w:rPr>
              <w:t>Not usually considered as hazardous. Check the supplier’s SDS.</w:t>
            </w:r>
          </w:p>
          <w:p w14:paraId="00000038" w14:textId="77777777" w:rsidR="00CA0C6F" w:rsidRDefault="00EC2533" w:rsidP="00C81199">
            <w:pPr>
              <w:ind w:left="0" w:firstLine="0"/>
              <w:jc w:val="left"/>
              <w:rPr>
                <w:rFonts w:ascii="Century Gothic" w:eastAsia="Century Gothic" w:hAnsi="Century Gothic" w:cs="Century Gothic"/>
                <w:vertAlign w:val="superscript"/>
              </w:rPr>
            </w:pPr>
            <w:r>
              <w:rPr>
                <w:rFonts w:ascii="Century Gothic" w:eastAsia="Century Gothic" w:hAnsi="Century Gothic" w:cs="Century Gothic"/>
              </w:rPr>
              <w:t>CLEAPSS recipe sheet RB000 recipe 13.</w:t>
            </w:r>
          </w:p>
        </w:tc>
      </w:tr>
      <w:tr w:rsidR="00CA0C6F" w14:paraId="245EB25B" w14:textId="77777777" w:rsidTr="00C81199">
        <w:trPr>
          <w:trHeight w:val="482"/>
          <w:jc w:val="center"/>
        </w:trPr>
        <w:tc>
          <w:tcPr>
            <w:tcW w:w="4673" w:type="dxa"/>
          </w:tcPr>
          <w:p w14:paraId="00000039" w14:textId="3990314B" w:rsidR="00CA0C6F" w:rsidRDefault="00EC2533">
            <w:pPr>
              <w:ind w:left="0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Ascorbic acid (vitamin C) solution, 0.2 g dm</w:t>
            </w:r>
            <w:r>
              <w:rPr>
                <w:rFonts w:ascii="Century Gothic" w:eastAsia="Century Gothic" w:hAnsi="Century Gothic" w:cs="Century Gothic"/>
                <w:vertAlign w:val="superscript"/>
              </w:rPr>
              <w:t>-3</w:t>
            </w:r>
            <w:r>
              <w:rPr>
                <w:rFonts w:ascii="Century Gothic" w:eastAsia="Century Gothic" w:hAnsi="Century Gothic" w:cs="Century Gothic"/>
              </w:rPr>
              <w:t xml:space="preserve"> in 5% phosphoric acid</w:t>
            </w:r>
            <w:r w:rsidR="001F68D9">
              <w:rPr>
                <w:rFonts w:ascii="Century Gothic" w:eastAsia="Century Gothic" w:hAnsi="Century Gothic" w:cs="Century Gothic"/>
              </w:rPr>
              <w:t>.</w:t>
            </w:r>
          </w:p>
          <w:p w14:paraId="0000003A" w14:textId="77777777" w:rsidR="00CA0C6F" w:rsidRDefault="00EC2533">
            <w:pPr>
              <w:ind w:left="0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</w:t>
            </w:r>
            <w:r>
              <w:rPr>
                <w:rFonts w:ascii="Century Gothic" w:eastAsia="Century Gothic" w:hAnsi="Century Gothic" w:cs="Century Gothic"/>
                <w:vertAlign w:val="subscript"/>
              </w:rPr>
              <w:t>6</w:t>
            </w:r>
            <w:r>
              <w:rPr>
                <w:rFonts w:ascii="Century Gothic" w:eastAsia="Century Gothic" w:hAnsi="Century Gothic" w:cs="Century Gothic"/>
              </w:rPr>
              <w:t>H</w:t>
            </w:r>
            <w:r>
              <w:rPr>
                <w:rFonts w:ascii="Century Gothic" w:eastAsia="Century Gothic" w:hAnsi="Century Gothic" w:cs="Century Gothic"/>
                <w:vertAlign w:val="subscript"/>
              </w:rPr>
              <w:t>8</w:t>
            </w:r>
            <w:r>
              <w:rPr>
                <w:rFonts w:ascii="Century Gothic" w:eastAsia="Century Gothic" w:hAnsi="Century Gothic" w:cs="Century Gothic"/>
              </w:rPr>
              <w:t>O</w:t>
            </w:r>
            <w:r>
              <w:rPr>
                <w:rFonts w:ascii="Century Gothic" w:eastAsia="Century Gothic" w:hAnsi="Century Gothic" w:cs="Century Gothic"/>
                <w:vertAlign w:val="subscript"/>
              </w:rPr>
              <w:t>6</w:t>
            </w:r>
            <w:r>
              <w:rPr>
                <w:rFonts w:ascii="Century Gothic" w:eastAsia="Century Gothic" w:hAnsi="Century Gothic" w:cs="Century Gothic"/>
              </w:rPr>
              <w:t>(l)</w:t>
            </w:r>
          </w:p>
          <w:p w14:paraId="0000003B" w14:textId="77777777" w:rsidR="00CA0C6F" w:rsidRDefault="00EC2533">
            <w:pPr>
              <w:ind w:left="0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Currently not classified as hazardous.</w:t>
            </w:r>
          </w:p>
          <w:p w14:paraId="0000003C" w14:textId="77777777" w:rsidR="00CA0C6F" w:rsidRDefault="00EC2533">
            <w:pPr>
              <w:ind w:left="0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CLEAPSS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hazcard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HC038d.</w:t>
            </w:r>
          </w:p>
          <w:p w14:paraId="0000003D" w14:textId="77777777" w:rsidR="00CA0C6F" w:rsidRDefault="00CA0C6F">
            <w:pPr>
              <w:ind w:left="0" w:firstLine="0"/>
              <w:jc w:val="lef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343" w:type="dxa"/>
          </w:tcPr>
          <w:p w14:paraId="0000003E" w14:textId="6411AAD2" w:rsidR="00CA0C6F" w:rsidRDefault="00EC2533" w:rsidP="00C81199">
            <w:pPr>
              <w:ind w:left="0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Ascorbic acid solid</w:t>
            </w:r>
            <w:r w:rsidR="001F68D9">
              <w:rPr>
                <w:rFonts w:ascii="Century Gothic" w:eastAsia="Century Gothic" w:hAnsi="Century Gothic" w:cs="Century Gothic"/>
              </w:rPr>
              <w:t>.</w:t>
            </w:r>
          </w:p>
          <w:p w14:paraId="0000003F" w14:textId="77777777" w:rsidR="00CA0C6F" w:rsidRDefault="00EC2533">
            <w:pPr>
              <w:ind w:left="0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</w:t>
            </w:r>
            <w:r>
              <w:rPr>
                <w:rFonts w:ascii="Century Gothic" w:eastAsia="Century Gothic" w:hAnsi="Century Gothic" w:cs="Century Gothic"/>
                <w:vertAlign w:val="subscript"/>
              </w:rPr>
              <w:t>6</w:t>
            </w:r>
            <w:r>
              <w:rPr>
                <w:rFonts w:ascii="Century Gothic" w:eastAsia="Century Gothic" w:hAnsi="Century Gothic" w:cs="Century Gothic"/>
              </w:rPr>
              <w:t>H</w:t>
            </w:r>
            <w:r>
              <w:rPr>
                <w:rFonts w:ascii="Century Gothic" w:eastAsia="Century Gothic" w:hAnsi="Century Gothic" w:cs="Century Gothic"/>
                <w:vertAlign w:val="subscript"/>
              </w:rPr>
              <w:t>8</w:t>
            </w:r>
            <w:r>
              <w:rPr>
                <w:rFonts w:ascii="Century Gothic" w:eastAsia="Century Gothic" w:hAnsi="Century Gothic" w:cs="Century Gothic"/>
              </w:rPr>
              <w:t>O</w:t>
            </w:r>
            <w:r>
              <w:rPr>
                <w:rFonts w:ascii="Century Gothic" w:eastAsia="Century Gothic" w:hAnsi="Century Gothic" w:cs="Century Gothic"/>
                <w:vertAlign w:val="subscript"/>
              </w:rPr>
              <w:t>6</w:t>
            </w:r>
            <w:r>
              <w:rPr>
                <w:rFonts w:ascii="Century Gothic" w:eastAsia="Century Gothic" w:hAnsi="Century Gothic" w:cs="Century Gothic"/>
              </w:rPr>
              <w:t>(s)</w:t>
            </w:r>
          </w:p>
          <w:p w14:paraId="00000040" w14:textId="77777777" w:rsidR="00CA0C6F" w:rsidRDefault="00EC2533" w:rsidP="00C81199">
            <w:pPr>
              <w:ind w:left="0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MW = 176.12 g mol</w:t>
            </w:r>
            <w:r>
              <w:rPr>
                <w:rFonts w:ascii="Century Gothic" w:eastAsia="Century Gothic" w:hAnsi="Century Gothic" w:cs="Century Gothic"/>
                <w:vertAlign w:val="superscript"/>
              </w:rPr>
              <w:t>-1</w:t>
            </w:r>
          </w:p>
          <w:p w14:paraId="00000041" w14:textId="77777777" w:rsidR="00CA0C6F" w:rsidRDefault="00EC2533" w:rsidP="00C81199">
            <w:pPr>
              <w:ind w:left="0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Currently not classified as hazardous.</w:t>
            </w:r>
          </w:p>
          <w:p w14:paraId="00000042" w14:textId="77777777" w:rsidR="00CA0C6F" w:rsidRDefault="00CA0C6F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</w:p>
          <w:p w14:paraId="00000043" w14:textId="6FDC2B02" w:rsidR="00CA0C6F" w:rsidRPr="00C81199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Phosphoric acid solution, 5% solution, equivalent to about 0.9 mol dm</w:t>
            </w:r>
            <w:r>
              <w:rPr>
                <w:rFonts w:ascii="Century Gothic" w:eastAsia="Century Gothic" w:hAnsi="Century Gothic" w:cs="Century Gothic"/>
                <w:vertAlign w:val="superscript"/>
              </w:rPr>
              <w:t>-3</w:t>
            </w:r>
            <w:r w:rsidR="0038483B">
              <w:rPr>
                <w:rFonts w:ascii="Century Gothic" w:eastAsia="Century Gothic" w:hAnsi="Century Gothic" w:cs="Century Gothic"/>
              </w:rPr>
              <w:t>.</w:t>
            </w:r>
          </w:p>
          <w:p w14:paraId="00000044" w14:textId="77777777" w:rsidR="00CA0C6F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H</w:t>
            </w:r>
            <w:r>
              <w:rPr>
                <w:rFonts w:ascii="Century Gothic" w:eastAsia="Century Gothic" w:hAnsi="Century Gothic" w:cs="Century Gothic"/>
                <w:vertAlign w:val="subscript"/>
              </w:rPr>
              <w:t>3</w:t>
            </w:r>
            <w:r>
              <w:rPr>
                <w:rFonts w:ascii="Century Gothic" w:eastAsia="Century Gothic" w:hAnsi="Century Gothic" w:cs="Century Gothic"/>
              </w:rPr>
              <w:t>PO</w:t>
            </w:r>
            <w:r>
              <w:rPr>
                <w:rFonts w:ascii="Century Gothic" w:eastAsia="Century Gothic" w:hAnsi="Century Gothic" w:cs="Century Gothic"/>
                <w:vertAlign w:val="subscript"/>
              </w:rPr>
              <w:t>4</w:t>
            </w:r>
            <w:r>
              <w:rPr>
                <w:rFonts w:ascii="Century Gothic" w:eastAsia="Century Gothic" w:hAnsi="Century Gothic" w:cs="Century Gothic"/>
              </w:rPr>
              <w:t>(aq)</w:t>
            </w:r>
          </w:p>
          <w:p w14:paraId="00000045" w14:textId="77777777" w:rsidR="00CA0C6F" w:rsidRDefault="00EC2533">
            <w:pPr>
              <w:ind w:left="22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Currently not classified as hazardous.</w:t>
            </w:r>
          </w:p>
          <w:p w14:paraId="00000046" w14:textId="77777777" w:rsidR="00CA0C6F" w:rsidRDefault="00EC2533" w:rsidP="00C81199">
            <w:pPr>
              <w:ind w:left="0" w:firstLine="0"/>
              <w:jc w:val="left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See information above.</w:t>
            </w:r>
          </w:p>
        </w:tc>
      </w:tr>
    </w:tbl>
    <w:p w14:paraId="00000047" w14:textId="77777777" w:rsidR="00CA0C6F" w:rsidRDefault="00EC253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500" w:after="160" w:line="259" w:lineRule="auto"/>
        <w:jc w:val="left"/>
        <w:rPr>
          <w:rFonts w:ascii="Century Gothic" w:eastAsia="Century Gothic" w:hAnsi="Century Gothic" w:cs="Century Gothic"/>
          <w:b/>
          <w:color w:val="004976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4976"/>
          <w:sz w:val="28"/>
          <w:szCs w:val="28"/>
        </w:rPr>
        <w:t xml:space="preserve">Tips and safety advice </w:t>
      </w:r>
    </w:p>
    <w:p w14:paraId="00000048" w14:textId="02A13769" w:rsidR="00CA0C6F" w:rsidRDefault="00EC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The concentration of the DCPIP solution will not be accurate hence it is important to carry out </w:t>
      </w:r>
      <w:r w:rsidR="009A1064"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Task 3, 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stage 1 (standardisation) of the experiment.</w:t>
      </w:r>
    </w:p>
    <w:p w14:paraId="00000049" w14:textId="77777777" w:rsidR="00CA0C6F" w:rsidRDefault="00EC253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500" w:after="160" w:line="259" w:lineRule="auto"/>
        <w:jc w:val="left"/>
        <w:rPr>
          <w:rFonts w:ascii="Century Gothic" w:eastAsia="Century Gothic" w:hAnsi="Century Gothic" w:cs="Century Gothic"/>
          <w:b/>
          <w:color w:val="004976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4976"/>
          <w:sz w:val="28"/>
          <w:szCs w:val="28"/>
        </w:rPr>
        <w:t>Disposal</w:t>
      </w:r>
    </w:p>
    <w:p w14:paraId="0000004A" w14:textId="77777777" w:rsidR="00CA0C6F" w:rsidRDefault="00EC25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Dilute the cabbage solution and the 5% phosphoric acid solution to a concentration of 0.1 mol dm</w:t>
      </w:r>
      <w:r>
        <w:rPr>
          <w:rFonts w:ascii="Century Gothic" w:eastAsia="Century Gothic" w:hAnsi="Century Gothic" w:cs="Century Gothic"/>
          <w:color w:val="000000"/>
          <w:sz w:val="22"/>
          <w:szCs w:val="22"/>
          <w:vertAlign w:val="superscript"/>
        </w:rPr>
        <w:t>-3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 phosphoric acid and the DCPIP solution to 0.1% before pouring down a foul-water drain.</w:t>
      </w:r>
    </w:p>
    <w:sectPr w:rsidR="00CA0C6F">
      <w:type w:val="continuous"/>
      <w:pgSz w:w="11906" w:h="16838"/>
      <w:pgMar w:top="1701" w:right="1440" w:bottom="1440" w:left="1440" w:header="431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37CC" w14:textId="77777777" w:rsidR="00EA3CC5" w:rsidRDefault="00EC2533">
      <w:pPr>
        <w:spacing w:after="0" w:line="240" w:lineRule="auto"/>
      </w:pPr>
      <w:r>
        <w:separator/>
      </w:r>
    </w:p>
  </w:endnote>
  <w:endnote w:type="continuationSeparator" w:id="0">
    <w:p w14:paraId="1900D3CE" w14:textId="77777777" w:rsidR="00EA3CC5" w:rsidRDefault="00EC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D" w14:textId="5A69BA77" w:rsidR="00CA0C6F" w:rsidRDefault="00EC2533">
    <w:pPr>
      <w:spacing w:line="283" w:lineRule="auto"/>
      <w:jc w:val="center"/>
    </w:pPr>
    <w:r>
      <w:rPr>
        <w:rFonts w:ascii="Century Gothic" w:eastAsia="Century Gothic" w:hAnsi="Century Gothic" w:cs="Century Gothic"/>
        <w:b/>
        <w:sz w:val="18"/>
        <w:szCs w:val="18"/>
      </w:rPr>
      <w:fldChar w:fldCharType="begin"/>
    </w:r>
    <w:r>
      <w:rPr>
        <w:rFonts w:ascii="Century Gothic" w:eastAsia="Century Gothic" w:hAnsi="Century Gothic" w:cs="Century Gothic"/>
        <w:b/>
        <w:sz w:val="18"/>
        <w:szCs w:val="18"/>
      </w:rPr>
      <w:instrText>PAGE</w:instrText>
    </w:r>
    <w:r>
      <w:rPr>
        <w:rFonts w:ascii="Century Gothic" w:eastAsia="Century Gothic" w:hAnsi="Century Gothic" w:cs="Century Gothic"/>
        <w:b/>
        <w:sz w:val="18"/>
        <w:szCs w:val="18"/>
      </w:rPr>
      <w:fldChar w:fldCharType="separate"/>
    </w:r>
    <w:r>
      <w:rPr>
        <w:rFonts w:ascii="Century Gothic" w:eastAsia="Century Gothic" w:hAnsi="Century Gothic" w:cs="Century Gothic"/>
        <w:b/>
        <w:noProof/>
        <w:sz w:val="18"/>
        <w:szCs w:val="18"/>
      </w:rPr>
      <w:t>1</w:t>
    </w:r>
    <w:r>
      <w:rPr>
        <w:rFonts w:ascii="Century Gothic" w:eastAsia="Century Gothic" w:hAnsi="Century Gothic" w:cs="Century Gothic"/>
        <w:b/>
        <w:sz w:val="18"/>
        <w:szCs w:val="18"/>
      </w:rPr>
      <w:fldChar w:fldCharType="end"/>
    </w:r>
  </w:p>
  <w:p w14:paraId="0000004E" w14:textId="77777777" w:rsidR="00CA0C6F" w:rsidRDefault="00EC2533">
    <w:pPr>
      <w:spacing w:line="283" w:lineRule="auto"/>
      <w:ind w:left="-851" w:right="-709"/>
      <w:jc w:val="left"/>
      <w:rPr>
        <w:rFonts w:ascii="Century Gothic" w:eastAsia="Century Gothic" w:hAnsi="Century Gothic" w:cs="Century Gothic"/>
        <w:sz w:val="16"/>
        <w:szCs w:val="16"/>
      </w:rPr>
    </w:pPr>
    <w:r>
      <w:rPr>
        <w:rFonts w:ascii="Century Gothic" w:eastAsia="Century Gothic" w:hAnsi="Century Gothic" w:cs="Century Gothic"/>
        <w:sz w:val="16"/>
        <w:szCs w:val="16"/>
      </w:rPr>
      <w:t>© 2023 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D7A7" w14:textId="77777777" w:rsidR="00EA3CC5" w:rsidRDefault="00EC2533">
      <w:pPr>
        <w:spacing w:after="0" w:line="240" w:lineRule="auto"/>
      </w:pPr>
      <w:r>
        <w:separator/>
      </w:r>
    </w:p>
  </w:footnote>
  <w:footnote w:type="continuationSeparator" w:id="0">
    <w:p w14:paraId="2709138E" w14:textId="77777777" w:rsidR="00EA3CC5" w:rsidRDefault="00EC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B" w14:textId="77777777" w:rsidR="00CA0C6F" w:rsidRDefault="00EC2533">
    <w:pPr>
      <w:spacing w:after="60"/>
      <w:ind w:right="-850"/>
      <w:jc w:val="right"/>
      <w:rPr>
        <w:rFonts w:ascii="Century Gothic" w:eastAsia="Century Gothic" w:hAnsi="Century Gothic" w:cs="Century Gothic"/>
        <w:b/>
        <w:color w:val="000000"/>
        <w:sz w:val="24"/>
        <w:szCs w:val="24"/>
      </w:rPr>
    </w:pPr>
    <w:r>
      <w:rPr>
        <w:rFonts w:ascii="Century Gothic" w:eastAsia="Century Gothic" w:hAnsi="Century Gothic" w:cs="Century Gothic"/>
        <w:b/>
        <w:color w:val="004976"/>
        <w:sz w:val="30"/>
        <w:szCs w:val="30"/>
      </w:rPr>
      <w:t xml:space="preserve">In search of more solutions  </w:t>
    </w:r>
    <w:r>
      <w:rPr>
        <w:rFonts w:ascii="Century Gothic" w:eastAsia="Century Gothic" w:hAnsi="Century Gothic" w:cs="Century Gothic"/>
        <w:b/>
        <w:color w:val="004976"/>
        <w:sz w:val="24"/>
        <w:szCs w:val="24"/>
      </w:rPr>
      <w:t xml:space="preserve"> </w:t>
    </w:r>
    <w:r>
      <w:rPr>
        <w:rFonts w:ascii="Century Gothic" w:eastAsia="Century Gothic" w:hAnsi="Century Gothic" w:cs="Century Gothic"/>
        <w:b/>
        <w:color w:val="000000"/>
        <w:sz w:val="24"/>
        <w:szCs w:val="24"/>
      </w:rPr>
      <w:t>16–18 years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24063A1" wp14:editId="393C51CC">
          <wp:simplePos x="0" y="0"/>
          <wp:positionH relativeFrom="column">
            <wp:posOffset>-927100</wp:posOffset>
          </wp:positionH>
          <wp:positionV relativeFrom="paragraph">
            <wp:posOffset>-267334</wp:posOffset>
          </wp:positionV>
          <wp:extent cx="7580222" cy="10727030"/>
          <wp:effectExtent l="0" t="0" r="0" b="0"/>
          <wp:wrapNone/>
          <wp:docPr id="1957173183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173183" name="image3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222" cy="10727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997191" wp14:editId="5A1ADBF2">
          <wp:simplePos x="0" y="0"/>
          <wp:positionH relativeFrom="column">
            <wp:posOffset>-539749</wp:posOffset>
          </wp:positionH>
          <wp:positionV relativeFrom="paragraph">
            <wp:posOffset>31115</wp:posOffset>
          </wp:positionV>
          <wp:extent cx="2161036" cy="362713"/>
          <wp:effectExtent l="0" t="0" r="0" b="0"/>
          <wp:wrapNone/>
          <wp:docPr id="1957173184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173184" name="image2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1036" cy="3627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4C" w14:textId="77777777" w:rsidR="00CA0C6F" w:rsidRDefault="00EC2533">
    <w:pPr>
      <w:pBdr>
        <w:top w:val="nil"/>
        <w:left w:val="nil"/>
        <w:bottom w:val="nil"/>
        <w:right w:val="nil"/>
        <w:between w:val="nil"/>
      </w:pBdr>
      <w:spacing w:after="86" w:line="259" w:lineRule="auto"/>
      <w:ind w:right="-850"/>
      <w:jc w:val="right"/>
      <w:rPr>
        <w:rFonts w:ascii="Century Gothic" w:eastAsia="Century Gothic" w:hAnsi="Century Gothic" w:cs="Century Gothic"/>
        <w:b/>
        <w:color w:val="004976"/>
        <w:sz w:val="18"/>
        <w:szCs w:val="18"/>
      </w:rPr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Available from </w:t>
    </w:r>
    <w:hyperlink r:id="rId3">
      <w:r>
        <w:rPr>
          <w:rFonts w:ascii="Century Gothic" w:eastAsia="Century Gothic" w:hAnsi="Century Gothic" w:cs="Century Gothic"/>
          <w:b/>
          <w:color w:val="004976"/>
          <w:sz w:val="18"/>
          <w:szCs w:val="18"/>
          <w:u w:val="single"/>
        </w:rPr>
        <w:t>rsc.li/3OYsLNd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927"/>
    <w:multiLevelType w:val="multilevel"/>
    <w:tmpl w:val="2AA2D7C6"/>
    <w:lvl w:ilvl="0">
      <w:start w:val="1"/>
      <w:numFmt w:val="bullet"/>
      <w:lvlText w:val="●"/>
      <w:lvlJc w:val="left"/>
      <w:pPr>
        <w:ind w:left="363" w:hanging="363"/>
      </w:pPr>
      <w:rPr>
        <w:rFonts w:ascii="Noto Sans Symbols" w:eastAsia="Noto Sans Symbols" w:hAnsi="Noto Sans Symbols" w:cs="Noto Sans Symbols"/>
        <w:color w:val="004976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94318C"/>
    <w:multiLevelType w:val="multilevel"/>
    <w:tmpl w:val="EE32A38C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0BFA"/>
    <w:multiLevelType w:val="multilevel"/>
    <w:tmpl w:val="2EB2AC4C"/>
    <w:lvl w:ilvl="0">
      <w:start w:val="1"/>
      <w:numFmt w:val="decimal"/>
      <w:pStyle w:val="RSC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8016180">
    <w:abstractNumId w:val="0"/>
  </w:num>
  <w:num w:numId="2" w16cid:durableId="407656769">
    <w:abstractNumId w:val="1"/>
  </w:num>
  <w:num w:numId="3" w16cid:durableId="1210608744">
    <w:abstractNumId w:val="2"/>
  </w:num>
  <w:num w:numId="4" w16cid:durableId="654380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4705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9421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0946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5754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8526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3518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00603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174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6440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937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6F"/>
    <w:rsid w:val="00074E6C"/>
    <w:rsid w:val="00102972"/>
    <w:rsid w:val="00117C7E"/>
    <w:rsid w:val="001422EE"/>
    <w:rsid w:val="001F68D9"/>
    <w:rsid w:val="002D0C28"/>
    <w:rsid w:val="002D649D"/>
    <w:rsid w:val="0038483B"/>
    <w:rsid w:val="003D0645"/>
    <w:rsid w:val="003E0E18"/>
    <w:rsid w:val="00436B61"/>
    <w:rsid w:val="004A056B"/>
    <w:rsid w:val="005527C8"/>
    <w:rsid w:val="005A31A4"/>
    <w:rsid w:val="005F4E81"/>
    <w:rsid w:val="008C435C"/>
    <w:rsid w:val="008D2F84"/>
    <w:rsid w:val="00916384"/>
    <w:rsid w:val="00933D6D"/>
    <w:rsid w:val="0099041C"/>
    <w:rsid w:val="009A1064"/>
    <w:rsid w:val="00A24BE1"/>
    <w:rsid w:val="00A94A19"/>
    <w:rsid w:val="00A9775F"/>
    <w:rsid w:val="00B21DEA"/>
    <w:rsid w:val="00C81199"/>
    <w:rsid w:val="00CA0C6F"/>
    <w:rsid w:val="00D46193"/>
    <w:rsid w:val="00D90C1E"/>
    <w:rsid w:val="00DA74AC"/>
    <w:rsid w:val="00EA3CC5"/>
    <w:rsid w:val="00EC2533"/>
    <w:rsid w:val="00F12621"/>
    <w:rsid w:val="00F139C1"/>
    <w:rsid w:val="00F73DFA"/>
    <w:rsid w:val="00FA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D12E"/>
  <w15:docId w15:val="{3E8C45C9-7705-49DB-9B84-CFF6A4E9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line="280" w:lineRule="atLeast"/>
      <w:outlineLvl w:val="0"/>
    </w:pPr>
    <w:rPr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3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812B1"/>
    <w:pPr>
      <w:tabs>
        <w:tab w:val="num" w:pos="720"/>
      </w:tabs>
      <w:spacing w:after="0" w:line="360" w:lineRule="auto"/>
      <w:ind w:left="720" w:hanging="720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tabs>
        <w:tab w:val="num" w:pos="720"/>
        <w:tab w:val="right" w:pos="8647"/>
      </w:tabs>
      <w:spacing w:after="0" w:line="259" w:lineRule="auto"/>
      <w:ind w:left="720" w:right="-1" w:hanging="720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tabs>
        <w:tab w:val="center" w:pos="426"/>
        <w:tab w:val="num" w:pos="720"/>
        <w:tab w:val="center" w:pos="851"/>
      </w:tabs>
      <w:ind w:left="720" w:hanging="720"/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tabs>
        <w:tab w:val="num" w:pos="720"/>
        <w:tab w:val="left" w:pos="851"/>
        <w:tab w:val="left" w:pos="1276"/>
      </w:tabs>
      <w:spacing w:after="0" w:line="259" w:lineRule="auto"/>
      <w:ind w:left="720" w:hanging="720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</w:style>
  <w:style w:type="numbering" w:customStyle="1" w:styleId="CurrentList2">
    <w:name w:val="Current List2"/>
    <w:uiPriority w:val="99"/>
    <w:rsid w:val="002D34BA"/>
  </w:style>
  <w:style w:type="numbering" w:customStyle="1" w:styleId="CurrentList3">
    <w:name w:val="Current List3"/>
    <w:uiPriority w:val="99"/>
    <w:rsid w:val="002D34BA"/>
  </w:style>
  <w:style w:type="numbering" w:customStyle="1" w:styleId="CurrentList4">
    <w:name w:val="Current List4"/>
    <w:uiPriority w:val="99"/>
    <w:rsid w:val="00B30A6E"/>
  </w:style>
  <w:style w:type="numbering" w:customStyle="1" w:styleId="CurrentList5">
    <w:name w:val="Current List5"/>
    <w:uiPriority w:val="99"/>
    <w:rsid w:val="00B30A6E"/>
  </w:style>
  <w:style w:type="numbering" w:customStyle="1" w:styleId="CurrentList6">
    <w:name w:val="Current List6"/>
    <w:uiPriority w:val="99"/>
    <w:rsid w:val="00B30A6E"/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</w:style>
  <w:style w:type="character" w:styleId="UnresolvedMention">
    <w:name w:val="Unresolved Mention"/>
    <w:basedOn w:val="DefaultParagraphFont"/>
    <w:uiPriority w:val="99"/>
    <w:semiHidden/>
    <w:unhideWhenUsed/>
    <w:rsid w:val="00B812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7554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B9755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B97554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692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10F"/>
    <w:rPr>
      <w:rFonts w:ascii="Arial" w:hAnsi="Arial" w:cs="Arial"/>
      <w:b/>
      <w:bCs/>
      <w:sz w:val="20"/>
      <w:szCs w:val="20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ind w:left="714" w:hanging="357"/>
    </w:pPr>
    <w:rPr>
      <w:rFonts w:ascii="Times New Roman" w:eastAsia="Times New Roman" w:hAnsi="Times New Roman" w:cs="Times New Roman"/>
    </w:r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102972"/>
    <w:pPr>
      <w:spacing w:after="0" w:line="240" w:lineRule="auto"/>
      <w:jc w:val="left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46meZdM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sc.li/3IAmFA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c.li/3Q5bsK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OYsLN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IoUTnvqrW/GhMS1SW2mYqTObig==">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471</Words>
  <Characters>2415</Characters>
  <Application>Microsoft Office Word</Application>
  <DocSecurity>0</DocSecurity>
  <Lines>142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Vitamin C content of cabbage technican notes</vt:lpstr>
    </vt:vector>
  </TitlesOfParts>
  <Company>Royal Society of Chemistry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C content of cabbage technican notes</dc:title>
  <dc:creator>Royal Society of Chemistry</dc:creator>
  <cp:keywords>Vitamin C, ascrobic acid, titration, analytical chemistry, hydrogen bonding</cp:keywords>
  <dc:description>From Vital vitamins, Education in Chemistry, https://rsc.li/46meZdM</dc:description>
  <cp:lastModifiedBy>Kirsty Patterson</cp:lastModifiedBy>
  <cp:revision>5</cp:revision>
  <dcterms:created xsi:type="dcterms:W3CDTF">2023-10-06T15:00:00Z</dcterms:created>
  <dcterms:modified xsi:type="dcterms:W3CDTF">2023-10-06T15:50:00Z</dcterms:modified>
</cp:coreProperties>
</file>