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277A6D02" w:rsidR="00A5740C" w:rsidRDefault="00EF2C56" w:rsidP="000E4D3D">
      <w:pPr>
        <w:pStyle w:val="RSCH1"/>
      </w:pPr>
      <w:r>
        <w:t xml:space="preserve">Melting and </w:t>
      </w:r>
      <w:r w:rsidRPr="00A75CDB">
        <w:t>boiling</w:t>
      </w:r>
      <w:r>
        <w:t xml:space="preserve"> points</w:t>
      </w:r>
    </w:p>
    <w:p w14:paraId="4CCE75E9" w14:textId="2045E347" w:rsidR="0080309E" w:rsidRDefault="0080309E" w:rsidP="0080309E">
      <w:pPr>
        <w:pStyle w:val="RSCBasictext"/>
        <w:rPr>
          <w:lang w:eastAsia="en-GB"/>
        </w:rPr>
      </w:pPr>
      <w:bookmarkStart w:id="0" w:name="_Hlk166166004"/>
      <w:r w:rsidRPr="19A260E1">
        <w:rPr>
          <w:lang w:eastAsia="en-GB"/>
        </w:rPr>
        <w:t xml:space="preserve">This resource is from the </w:t>
      </w:r>
      <w:r w:rsidR="00C45637" w:rsidRPr="19A260E1">
        <w:rPr>
          <w:b/>
          <w:bCs/>
          <w:lang w:eastAsia="en-GB"/>
        </w:rPr>
        <w:t xml:space="preserve">Johnstone’s triangle </w:t>
      </w:r>
      <w:r w:rsidRPr="19A260E1">
        <w:rPr>
          <w:lang w:eastAsia="en-GB"/>
        </w:rPr>
        <w:t>series which can be viewed at:</w:t>
      </w:r>
      <w:r w:rsidR="005A0CCE">
        <w:rPr>
          <w:lang w:eastAsia="en-GB"/>
        </w:rPr>
        <w:t xml:space="preserve"> </w:t>
      </w:r>
      <w:hyperlink r:id="rId11" w:history="1">
        <w:r w:rsidR="005A0CCE" w:rsidRPr="009A6D00">
          <w:rPr>
            <w:rStyle w:val="Hyperlink"/>
            <w:color w:val="006F62"/>
            <w:lang w:eastAsia="en-GB"/>
          </w:rPr>
          <w:t>rsc.li/4mFH6ND</w:t>
        </w:r>
      </w:hyperlink>
      <w:hyperlink r:id="rId12"/>
      <w:r w:rsidR="00A47B07">
        <w:rPr>
          <w:lang w:eastAsia="en-GB"/>
        </w:rPr>
        <w:t xml:space="preserve">. </w:t>
      </w:r>
      <w:r w:rsidR="005F3C8E" w:rsidRPr="19A260E1">
        <w:rPr>
          <w:lang w:eastAsia="en-GB"/>
        </w:rPr>
        <w:t>In this series you will also find ou</w:t>
      </w:r>
      <w:r w:rsidR="00FE3FC2" w:rsidRPr="19A260E1">
        <w:rPr>
          <w:lang w:eastAsia="en-GB"/>
        </w:rPr>
        <w:t>r</w:t>
      </w:r>
      <w:r w:rsidR="005F3C8E" w:rsidRPr="19A260E1">
        <w:rPr>
          <w:lang w:eastAsia="en-GB"/>
        </w:rPr>
        <w:t xml:space="preserve"> </w:t>
      </w:r>
      <w:r w:rsidR="00E75844" w:rsidRPr="19A260E1">
        <w:rPr>
          <w:b/>
          <w:bCs/>
          <w:lang w:eastAsia="en-GB"/>
        </w:rPr>
        <w:t>Melting and boiling</w:t>
      </w:r>
      <w:r w:rsidR="005F3C8E" w:rsidRPr="19A260E1">
        <w:rPr>
          <w:b/>
          <w:bCs/>
          <w:lang w:eastAsia="en-GB"/>
        </w:rPr>
        <w:t>: J</w:t>
      </w:r>
      <w:r w:rsidRPr="19A260E1">
        <w:rPr>
          <w:b/>
          <w:bCs/>
          <w:lang w:eastAsia="en-GB"/>
        </w:rPr>
        <w:t xml:space="preserve">ohnstone’s triangle </w:t>
      </w:r>
      <w:r w:rsidRPr="19A260E1">
        <w:rPr>
          <w:lang w:eastAsia="en-GB"/>
        </w:rPr>
        <w:t xml:space="preserve">worksheet which </w:t>
      </w:r>
      <w:r w:rsidR="00E57D24" w:rsidRPr="19A260E1">
        <w:rPr>
          <w:lang w:eastAsia="en-GB"/>
        </w:rPr>
        <w:t xml:space="preserve">introduces the triangle in the context of </w:t>
      </w:r>
      <w:r w:rsidR="00F33DC2" w:rsidRPr="19A260E1">
        <w:rPr>
          <w:lang w:eastAsia="en-GB"/>
        </w:rPr>
        <w:t>melting and boiling water</w:t>
      </w:r>
      <w:r w:rsidRPr="19A260E1">
        <w:rPr>
          <w:lang w:eastAsia="en-GB"/>
        </w:rPr>
        <w:t xml:space="preserve">: </w:t>
      </w:r>
      <w:hyperlink r:id="rId13" w:history="1">
        <w:r w:rsidR="006A7947" w:rsidRPr="009A6D00">
          <w:rPr>
            <w:rStyle w:val="Hyperlink"/>
            <w:color w:val="006F62"/>
          </w:rPr>
          <w:t>rsc.li/4laqj4k</w:t>
        </w:r>
      </w:hyperlink>
      <w:r w:rsidR="00A47B07" w:rsidRPr="0004092A">
        <w:rPr>
          <w:rStyle w:val="CommentReference"/>
          <w:sz w:val="22"/>
          <w:szCs w:val="22"/>
        </w:rPr>
        <w:t>.</w:t>
      </w:r>
    </w:p>
    <w:bookmarkEnd w:id="0"/>
    <w:p w14:paraId="791953DF" w14:textId="536DE5D8" w:rsidR="00A5740C" w:rsidRDefault="00722220" w:rsidP="000736CE">
      <w:pPr>
        <w:pStyle w:val="RSCH2"/>
      </w:pPr>
      <w: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A75CDB" w:rsidRPr="00985C41" w14:paraId="0665EF69" w14:textId="77777777" w:rsidTr="7449C875">
        <w:trPr>
          <w:trHeight w:val="482"/>
        </w:trPr>
        <w:tc>
          <w:tcPr>
            <w:tcW w:w="1129" w:type="dxa"/>
            <w:shd w:val="clear" w:color="auto" w:fill="E0E88E"/>
            <w:vAlign w:val="center"/>
          </w:tcPr>
          <w:p w14:paraId="4CE9E92B" w14:textId="77777777" w:rsidR="00A75CDB" w:rsidRPr="00A75CDB" w:rsidRDefault="00A75CDB" w:rsidP="00007645">
            <w:pPr>
              <w:spacing w:before="58" w:after="58" w:line="259" w:lineRule="auto"/>
              <w:ind w:left="0" w:right="28" w:firstLine="0"/>
              <w:jc w:val="center"/>
              <w:rPr>
                <w:rFonts w:ascii="Century Gothic" w:hAnsi="Century Gothic"/>
                <w:b/>
                <w:bCs/>
                <w:color w:val="006F62"/>
              </w:rPr>
            </w:pPr>
            <w:r w:rsidRPr="00A75CDB">
              <w:rPr>
                <w:rFonts w:ascii="Century Gothic" w:hAnsi="Century Gothic"/>
                <w:b/>
                <w:bCs/>
                <w:color w:val="006F62"/>
              </w:rPr>
              <w:t>LO</w:t>
            </w:r>
          </w:p>
        </w:tc>
        <w:tc>
          <w:tcPr>
            <w:tcW w:w="6101" w:type="dxa"/>
            <w:shd w:val="clear" w:color="auto" w:fill="E0E88E"/>
            <w:vAlign w:val="center"/>
          </w:tcPr>
          <w:p w14:paraId="44A2E6F2" w14:textId="77777777" w:rsidR="00A75CDB" w:rsidRPr="00A75CDB" w:rsidRDefault="00A75CDB" w:rsidP="00007645">
            <w:pPr>
              <w:spacing w:before="60" w:after="60" w:line="259" w:lineRule="auto"/>
              <w:ind w:left="0" w:right="33" w:firstLine="0"/>
              <w:jc w:val="left"/>
              <w:rPr>
                <w:rFonts w:ascii="Century Gothic" w:hAnsi="Century Gothic"/>
                <w:b/>
                <w:bCs/>
                <w:color w:val="006F62"/>
              </w:rPr>
            </w:pPr>
            <w:r w:rsidRPr="00A75CDB">
              <w:rPr>
                <w:rFonts w:ascii="Century Gothic" w:hAnsi="Century Gothic"/>
                <w:b/>
                <w:bCs/>
                <w:color w:val="006F62"/>
              </w:rPr>
              <w:t>Objective</w:t>
            </w:r>
          </w:p>
        </w:tc>
        <w:tc>
          <w:tcPr>
            <w:tcW w:w="1842" w:type="dxa"/>
            <w:shd w:val="clear" w:color="auto" w:fill="E0E88E"/>
            <w:vAlign w:val="center"/>
          </w:tcPr>
          <w:p w14:paraId="3882A0F7" w14:textId="77777777" w:rsidR="00A75CDB" w:rsidRPr="00A75CDB" w:rsidRDefault="00A75CDB" w:rsidP="00007645">
            <w:pPr>
              <w:spacing w:before="60" w:after="60" w:line="259" w:lineRule="auto"/>
              <w:ind w:left="0" w:right="33" w:firstLine="0"/>
              <w:jc w:val="center"/>
              <w:rPr>
                <w:rFonts w:ascii="Century Gothic" w:hAnsi="Century Gothic"/>
                <w:b/>
                <w:bCs/>
                <w:color w:val="006F62"/>
              </w:rPr>
            </w:pPr>
            <w:r w:rsidRPr="00A75CDB">
              <w:rPr>
                <w:rFonts w:ascii="Century Gothic" w:hAnsi="Century Gothic"/>
                <w:b/>
                <w:bCs/>
                <w:color w:val="006F62"/>
              </w:rPr>
              <w:t>Where assessed</w:t>
            </w:r>
          </w:p>
        </w:tc>
      </w:tr>
      <w:tr w:rsidR="00A75CDB" w:rsidRPr="00985C41" w14:paraId="291F1028" w14:textId="77777777" w:rsidTr="7449C875">
        <w:trPr>
          <w:trHeight w:val="582"/>
        </w:trPr>
        <w:tc>
          <w:tcPr>
            <w:tcW w:w="1129" w:type="dxa"/>
            <w:vAlign w:val="center"/>
          </w:tcPr>
          <w:p w14:paraId="0F9E5428" w14:textId="77777777" w:rsidR="00A75CDB" w:rsidRPr="00A75CDB" w:rsidRDefault="00A75CDB" w:rsidP="00007645">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1</w:t>
            </w:r>
          </w:p>
        </w:tc>
        <w:tc>
          <w:tcPr>
            <w:tcW w:w="6101" w:type="dxa"/>
            <w:vAlign w:val="center"/>
          </w:tcPr>
          <w:p w14:paraId="480F412C" w14:textId="736DD8B9" w:rsidR="00A75CDB" w:rsidRDefault="00A75CDB" w:rsidP="7449C875">
            <w:pPr>
              <w:pStyle w:val="RSCBasictext"/>
              <w:spacing w:after="0"/>
              <w:ind w:left="0" w:firstLine="0"/>
            </w:pPr>
            <w:r>
              <w:t xml:space="preserve">Recognise </w:t>
            </w:r>
            <w:r w:rsidR="005F43A3">
              <w:t>that a pure sample of a substance has a single sharp melting point.</w:t>
            </w:r>
          </w:p>
        </w:tc>
        <w:tc>
          <w:tcPr>
            <w:tcW w:w="1842" w:type="dxa"/>
            <w:vAlign w:val="center"/>
          </w:tcPr>
          <w:p w14:paraId="0C440922" w14:textId="392A81E8" w:rsidR="00A75CDB" w:rsidRPr="00985C41" w:rsidRDefault="00A848C7" w:rsidP="00007645">
            <w:pPr>
              <w:tabs>
                <w:tab w:val="left" w:pos="1593"/>
              </w:tabs>
              <w:spacing w:after="0" w:line="259" w:lineRule="auto"/>
              <w:ind w:left="0" w:firstLine="0"/>
              <w:jc w:val="center"/>
              <w:rPr>
                <w:rFonts w:ascii="Century Gothic" w:hAnsi="Century Gothic"/>
              </w:rPr>
            </w:pPr>
            <w:r>
              <w:rPr>
                <w:rFonts w:ascii="Century Gothic" w:hAnsi="Century Gothic"/>
              </w:rPr>
              <w:t>Q1</w:t>
            </w:r>
          </w:p>
        </w:tc>
      </w:tr>
      <w:tr w:rsidR="00A75CDB" w:rsidRPr="00985C41" w14:paraId="5B4EC574" w14:textId="77777777" w:rsidTr="7449C875">
        <w:trPr>
          <w:trHeight w:val="582"/>
        </w:trPr>
        <w:tc>
          <w:tcPr>
            <w:tcW w:w="1129" w:type="dxa"/>
            <w:vAlign w:val="center"/>
          </w:tcPr>
          <w:p w14:paraId="27BB87DA" w14:textId="77777777" w:rsidR="00A75CDB" w:rsidRPr="00A75CDB" w:rsidRDefault="00A75CDB" w:rsidP="00007645">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2</w:t>
            </w:r>
          </w:p>
        </w:tc>
        <w:tc>
          <w:tcPr>
            <w:tcW w:w="6101" w:type="dxa"/>
            <w:vAlign w:val="center"/>
          </w:tcPr>
          <w:p w14:paraId="60578E4F" w14:textId="277D7268" w:rsidR="00A75CDB" w:rsidRDefault="005F43A3" w:rsidP="00007645">
            <w:pPr>
              <w:pStyle w:val="RSCBasictext"/>
              <w:spacing w:after="0"/>
              <w:ind w:left="0" w:firstLine="0"/>
            </w:pPr>
            <w:r>
              <w:t xml:space="preserve">Use melting </w:t>
            </w:r>
            <w:r w:rsidR="00AB25F9">
              <w:t xml:space="preserve">and </w:t>
            </w:r>
            <w:r w:rsidR="002C7F96">
              <w:t xml:space="preserve">boiling </w:t>
            </w:r>
            <w:r>
              <w:t xml:space="preserve">point data to deduce the state of </w:t>
            </w:r>
            <w:r w:rsidR="002C7F96">
              <w:t xml:space="preserve">materials </w:t>
            </w:r>
            <w:r>
              <w:t>at given temperature</w:t>
            </w:r>
            <w:r w:rsidR="002C7F96">
              <w:t>s</w:t>
            </w:r>
            <w:r>
              <w:t>.</w:t>
            </w:r>
          </w:p>
        </w:tc>
        <w:tc>
          <w:tcPr>
            <w:tcW w:w="1842" w:type="dxa"/>
            <w:vAlign w:val="center"/>
          </w:tcPr>
          <w:p w14:paraId="19FB5DEB" w14:textId="0D141391" w:rsidR="00A75CDB" w:rsidRDefault="00A75CDB" w:rsidP="00007645">
            <w:pPr>
              <w:tabs>
                <w:tab w:val="left" w:pos="1593"/>
              </w:tabs>
              <w:spacing w:after="0" w:line="259" w:lineRule="auto"/>
              <w:ind w:left="0" w:firstLine="0"/>
              <w:jc w:val="center"/>
              <w:rPr>
                <w:rFonts w:ascii="Century Gothic" w:hAnsi="Century Gothic"/>
              </w:rPr>
            </w:pPr>
            <w:r w:rsidRPr="7449C875">
              <w:rPr>
                <w:rFonts w:ascii="Century Gothic" w:hAnsi="Century Gothic"/>
              </w:rPr>
              <w:t>Q</w:t>
            </w:r>
            <w:r w:rsidR="00A848C7" w:rsidRPr="7449C875">
              <w:rPr>
                <w:rFonts w:ascii="Century Gothic" w:hAnsi="Century Gothic"/>
              </w:rPr>
              <w:t>2</w:t>
            </w:r>
            <w:r w:rsidR="002C7F96" w:rsidRPr="7449C875">
              <w:rPr>
                <w:rFonts w:ascii="Century Gothic" w:hAnsi="Century Gothic"/>
              </w:rPr>
              <w:t xml:space="preserve"> and Q3</w:t>
            </w:r>
          </w:p>
        </w:tc>
      </w:tr>
      <w:tr w:rsidR="00A848C7" w:rsidRPr="00985C41" w14:paraId="6D00EA62" w14:textId="77777777" w:rsidTr="7449C875">
        <w:trPr>
          <w:trHeight w:val="582"/>
        </w:trPr>
        <w:tc>
          <w:tcPr>
            <w:tcW w:w="1129" w:type="dxa"/>
            <w:vAlign w:val="center"/>
          </w:tcPr>
          <w:p w14:paraId="7DA93BE9" w14:textId="55231F95" w:rsidR="00A848C7" w:rsidRPr="00A75CDB" w:rsidRDefault="002C7F96" w:rsidP="00A848C7">
            <w:pPr>
              <w:spacing w:after="0" w:line="259" w:lineRule="auto"/>
              <w:ind w:left="29" w:firstLine="0"/>
              <w:jc w:val="center"/>
              <w:rPr>
                <w:rFonts w:ascii="Century Gothic" w:hAnsi="Century Gothic"/>
                <w:b/>
                <w:bCs/>
                <w:color w:val="006F62"/>
                <w:sz w:val="22"/>
                <w:szCs w:val="22"/>
              </w:rPr>
            </w:pPr>
            <w:r w:rsidRPr="7449C875">
              <w:rPr>
                <w:rFonts w:ascii="Century Gothic" w:hAnsi="Century Gothic"/>
                <w:b/>
                <w:bCs/>
                <w:color w:val="006F62"/>
                <w:sz w:val="22"/>
                <w:szCs w:val="22"/>
              </w:rPr>
              <w:t>3</w:t>
            </w:r>
          </w:p>
        </w:tc>
        <w:tc>
          <w:tcPr>
            <w:tcW w:w="6101" w:type="dxa"/>
            <w:vAlign w:val="center"/>
          </w:tcPr>
          <w:p w14:paraId="606C4CBC" w14:textId="6E7E2D3B" w:rsidR="00A848C7" w:rsidRDefault="00A848C7" w:rsidP="00A848C7">
            <w:pPr>
              <w:pStyle w:val="RSCBasictext"/>
              <w:spacing w:after="0"/>
              <w:ind w:left="0" w:firstLine="0"/>
            </w:pPr>
            <w:r>
              <w:t>Describe the change in arrangement and movement of particles when a substance melts.</w:t>
            </w:r>
          </w:p>
        </w:tc>
        <w:tc>
          <w:tcPr>
            <w:tcW w:w="1842" w:type="dxa"/>
            <w:vAlign w:val="center"/>
          </w:tcPr>
          <w:p w14:paraId="35C8A223" w14:textId="7BDD993A" w:rsidR="00A848C7" w:rsidRDefault="00A848C7" w:rsidP="00A848C7">
            <w:pPr>
              <w:tabs>
                <w:tab w:val="left" w:pos="1593"/>
              </w:tabs>
              <w:spacing w:after="0" w:line="259" w:lineRule="auto"/>
              <w:ind w:left="33" w:firstLine="0"/>
              <w:jc w:val="center"/>
              <w:rPr>
                <w:rFonts w:ascii="Century Gothic" w:hAnsi="Century Gothic"/>
              </w:rPr>
            </w:pPr>
            <w:r>
              <w:rPr>
                <w:rFonts w:ascii="Century Gothic" w:hAnsi="Century Gothic"/>
              </w:rPr>
              <w:t>Q4</w:t>
            </w:r>
          </w:p>
        </w:tc>
      </w:tr>
      <w:tr w:rsidR="00A848C7" w:rsidRPr="00985C41" w14:paraId="1D4CC19B" w14:textId="77777777" w:rsidTr="7449C875">
        <w:trPr>
          <w:trHeight w:val="582"/>
        </w:trPr>
        <w:tc>
          <w:tcPr>
            <w:tcW w:w="1129" w:type="dxa"/>
            <w:vAlign w:val="center"/>
          </w:tcPr>
          <w:p w14:paraId="0B4B3992" w14:textId="4ED00B1B" w:rsidR="00A848C7" w:rsidRPr="00A75CDB" w:rsidRDefault="002C7F96" w:rsidP="00A848C7">
            <w:pPr>
              <w:spacing w:after="0" w:line="259" w:lineRule="auto"/>
              <w:ind w:left="29" w:hanging="29"/>
              <w:jc w:val="center"/>
              <w:rPr>
                <w:rFonts w:ascii="Century Gothic" w:hAnsi="Century Gothic"/>
                <w:b/>
                <w:bCs/>
                <w:color w:val="006F62"/>
                <w:sz w:val="22"/>
                <w:szCs w:val="22"/>
              </w:rPr>
            </w:pPr>
            <w:r w:rsidRPr="7449C875">
              <w:rPr>
                <w:rFonts w:ascii="Century Gothic" w:hAnsi="Century Gothic"/>
                <w:b/>
                <w:bCs/>
                <w:color w:val="006F62"/>
                <w:sz w:val="22"/>
                <w:szCs w:val="22"/>
              </w:rPr>
              <w:t>4</w:t>
            </w:r>
          </w:p>
        </w:tc>
        <w:tc>
          <w:tcPr>
            <w:tcW w:w="6101" w:type="dxa"/>
            <w:vAlign w:val="center"/>
          </w:tcPr>
          <w:p w14:paraId="5FEC5B45" w14:textId="50FAF640" w:rsidR="00A848C7" w:rsidRDefault="00A848C7" w:rsidP="00A848C7">
            <w:pPr>
              <w:pStyle w:val="RSCBasictext"/>
              <w:spacing w:after="0"/>
              <w:ind w:left="0" w:firstLine="0"/>
            </w:pPr>
            <w:r>
              <w:t>Explain why the idea of forces of attraction between particles is necessary to explain differences in melting point.</w:t>
            </w:r>
          </w:p>
        </w:tc>
        <w:tc>
          <w:tcPr>
            <w:tcW w:w="1842" w:type="dxa"/>
            <w:vAlign w:val="center"/>
          </w:tcPr>
          <w:p w14:paraId="09765FFA" w14:textId="29BB396D" w:rsidR="00A848C7" w:rsidRDefault="00A848C7" w:rsidP="00A848C7">
            <w:pPr>
              <w:tabs>
                <w:tab w:val="left" w:pos="1593"/>
              </w:tabs>
              <w:spacing w:after="0" w:line="259" w:lineRule="auto"/>
              <w:ind w:left="33" w:hanging="6"/>
              <w:jc w:val="center"/>
              <w:rPr>
                <w:rFonts w:ascii="Century Gothic" w:hAnsi="Century Gothic"/>
              </w:rPr>
            </w:pPr>
            <w:r>
              <w:rPr>
                <w:rFonts w:ascii="Century Gothic" w:hAnsi="Century Gothic"/>
              </w:rPr>
              <w:t>Q4</w:t>
            </w:r>
          </w:p>
        </w:tc>
      </w:tr>
    </w:tbl>
    <w:p w14:paraId="4A39F975" w14:textId="17BC02A2" w:rsidR="00DF41D6" w:rsidRDefault="0080309E" w:rsidP="004102F1">
      <w:pPr>
        <w:pStyle w:val="RSCH2"/>
      </w:pPr>
      <w:r>
        <w:t>How to use this resource</w:t>
      </w:r>
    </w:p>
    <w:p w14:paraId="6A548CAE" w14:textId="13A8934F" w:rsidR="00AF37D8" w:rsidRDefault="009D2C8E" w:rsidP="009D2C8E">
      <w:pPr>
        <w:pStyle w:val="RSCBasictext"/>
      </w:pPr>
      <w:r>
        <w:t xml:space="preserve">This resource </w:t>
      </w:r>
      <w:r w:rsidR="00DC1505">
        <w:t>aims to develop learners’ understanding of melting and boiling</w:t>
      </w:r>
      <w:r w:rsidR="007A7480">
        <w:t xml:space="preserve"> points and changes of state. The questions encourage learners to think about</w:t>
      </w:r>
      <w:r w:rsidR="00040B1F">
        <w:t xml:space="preserve"> what the particle model can and cannot explain</w:t>
      </w:r>
      <w:r w:rsidR="003478AF">
        <w:t>.</w:t>
      </w:r>
      <w:r w:rsidR="008D1FC1">
        <w:t xml:space="preserve"> </w:t>
      </w:r>
      <w:r w:rsidR="00243A87">
        <w:t xml:space="preserve">As a result, learners should develop </w:t>
      </w:r>
      <w:r w:rsidR="00075D10">
        <w:t>more secure mental models to support their thinking about this topic.</w:t>
      </w:r>
    </w:p>
    <w:tbl>
      <w:tblPr>
        <w:tblStyle w:val="TableGrid"/>
        <w:tblW w:w="9015" w:type="dxa"/>
        <w:tblLook w:val="04A0" w:firstRow="1" w:lastRow="0" w:firstColumn="1" w:lastColumn="0" w:noHBand="0" w:noVBand="1"/>
      </w:tblPr>
      <w:tblGrid>
        <w:gridCol w:w="1803"/>
        <w:gridCol w:w="1803"/>
        <w:gridCol w:w="1803"/>
        <w:gridCol w:w="1803"/>
        <w:gridCol w:w="1803"/>
      </w:tblGrid>
      <w:tr w:rsidR="00AB25F9" w14:paraId="0C16F5D2" w14:textId="77777777" w:rsidTr="7449C875">
        <w:trPr>
          <w:trHeight w:val="300"/>
        </w:trPr>
        <w:tc>
          <w:tcPr>
            <w:tcW w:w="1803" w:type="dxa"/>
            <w:vMerge w:val="restart"/>
            <w:shd w:val="clear" w:color="auto" w:fill="E0E88E"/>
          </w:tcPr>
          <w:p w14:paraId="6A62335A" w14:textId="77777777" w:rsidR="00AB25F9" w:rsidRPr="008D1FC1" w:rsidRDefault="00AB25F9" w:rsidP="00007645">
            <w:pPr>
              <w:pStyle w:val="RSCBasictext"/>
              <w:ind w:left="0" w:firstLine="0"/>
              <w:rPr>
                <w:color w:val="006F62"/>
                <w:lang w:eastAsia="en-GB"/>
              </w:rPr>
            </w:pPr>
            <w:bookmarkStart w:id="1" w:name="_Hlk179378095"/>
            <w:r w:rsidRPr="7449C875">
              <w:rPr>
                <w:b/>
                <w:bCs/>
                <w:color w:val="006F62"/>
                <w:lang w:eastAsia="en-GB"/>
              </w:rPr>
              <w:t>When to use?</w:t>
            </w:r>
          </w:p>
        </w:tc>
        <w:tc>
          <w:tcPr>
            <w:tcW w:w="1803" w:type="dxa"/>
            <w:vAlign w:val="center"/>
          </w:tcPr>
          <w:p w14:paraId="5458E1E1" w14:textId="77777777" w:rsidR="00AB25F9" w:rsidRDefault="00AB25F9" w:rsidP="00007645">
            <w:pPr>
              <w:pStyle w:val="RSCBasictext"/>
              <w:ind w:left="0" w:firstLine="0"/>
              <w:jc w:val="center"/>
              <w:rPr>
                <w:lang w:eastAsia="en-GB"/>
              </w:rPr>
            </w:pPr>
            <w:r>
              <w:rPr>
                <w:noProof/>
                <w:lang w:eastAsia="en-GB"/>
              </w:rPr>
              <w:drawing>
                <wp:inline distT="0" distB="0" distL="0" distR="0" wp14:anchorId="772AE259" wp14:editId="23F1917D">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4">
                            <a:extLst>
                              <a:ext uri="{96DAC541-7B7A-43D3-8B79-37D633B846F1}">
                                <asvg:svgBlip xmlns:asvg="http://schemas.microsoft.com/office/drawing/2016/SVG/main" r:embed="rId15"/>
                              </a:ext>
                            </a:extLst>
                          </a:blip>
                          <a:stretch>
                            <a:fillRect/>
                          </a:stretch>
                        </pic:blipFill>
                        <pic:spPr>
                          <a:xfrm>
                            <a:off x="0" y="0"/>
                            <a:ext cx="502920" cy="502920"/>
                          </a:xfrm>
                          <a:prstGeom prst="rect">
                            <a:avLst/>
                          </a:prstGeom>
                        </pic:spPr>
                      </pic:pic>
                    </a:graphicData>
                  </a:graphic>
                </wp:inline>
              </w:drawing>
            </w:r>
            <w:r>
              <w:br/>
            </w:r>
            <w:r w:rsidRPr="7449C875">
              <w:rPr>
                <w:color w:val="D9D9D9" w:themeColor="background1" w:themeShade="D9"/>
                <w:sz w:val="18"/>
                <w:szCs w:val="18"/>
                <w:lang w:eastAsia="en-GB"/>
              </w:rPr>
              <w:t>Introduce</w:t>
            </w:r>
          </w:p>
        </w:tc>
        <w:tc>
          <w:tcPr>
            <w:tcW w:w="1803" w:type="dxa"/>
            <w:vAlign w:val="center"/>
          </w:tcPr>
          <w:p w14:paraId="70DE5AF0" w14:textId="77777777" w:rsidR="00AB25F9" w:rsidRDefault="00AB25F9" w:rsidP="00007645">
            <w:pPr>
              <w:pStyle w:val="RSCBasictext"/>
              <w:ind w:left="0" w:firstLine="0"/>
              <w:jc w:val="center"/>
              <w:rPr>
                <w:lang w:eastAsia="en-GB"/>
              </w:rPr>
            </w:pPr>
            <w:r>
              <w:rPr>
                <w:noProof/>
                <w:lang w:eastAsia="en-GB"/>
              </w:rPr>
              <w:drawing>
                <wp:inline distT="0" distB="0" distL="0" distR="0" wp14:anchorId="280F2D34" wp14:editId="5FD11062">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br/>
            </w:r>
            <w:r w:rsidRPr="7449C875">
              <w:rPr>
                <w:b/>
                <w:bCs/>
                <w:sz w:val="18"/>
                <w:szCs w:val="18"/>
                <w:lang w:eastAsia="en-GB"/>
              </w:rPr>
              <w:t>Develop</w:t>
            </w:r>
          </w:p>
        </w:tc>
        <w:tc>
          <w:tcPr>
            <w:tcW w:w="1803" w:type="dxa"/>
            <w:vAlign w:val="center"/>
          </w:tcPr>
          <w:p w14:paraId="1D53A01A" w14:textId="77777777" w:rsidR="00AB25F9" w:rsidRDefault="00AB25F9" w:rsidP="00007645">
            <w:pPr>
              <w:pStyle w:val="RSCBasictext"/>
              <w:ind w:left="9" w:firstLine="0"/>
              <w:jc w:val="center"/>
              <w:rPr>
                <w:lang w:eastAsia="en-GB"/>
              </w:rPr>
            </w:pPr>
            <w:r>
              <w:rPr>
                <w:noProof/>
                <w:lang w:eastAsia="en-GB"/>
              </w:rPr>
              <w:drawing>
                <wp:inline distT="0" distB="0" distL="0" distR="0" wp14:anchorId="4F3BF69E" wp14:editId="4BFE68E5">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br/>
            </w:r>
            <w:r w:rsidRPr="7449C875">
              <w:rPr>
                <w:b/>
                <w:bCs/>
                <w:sz w:val="18"/>
                <w:szCs w:val="18"/>
                <w:lang w:eastAsia="en-GB"/>
              </w:rPr>
              <w:t>Revise</w:t>
            </w:r>
          </w:p>
        </w:tc>
        <w:tc>
          <w:tcPr>
            <w:tcW w:w="1803" w:type="dxa"/>
            <w:vAlign w:val="center"/>
          </w:tcPr>
          <w:p w14:paraId="2C31C31D" w14:textId="77777777" w:rsidR="00AB25F9" w:rsidRDefault="00AB25F9" w:rsidP="00007645">
            <w:pPr>
              <w:pStyle w:val="RSCBasictext"/>
              <w:ind w:left="9" w:firstLine="0"/>
              <w:jc w:val="center"/>
              <w:rPr>
                <w:lang w:eastAsia="en-GB"/>
              </w:rPr>
            </w:pPr>
            <w:r>
              <w:rPr>
                <w:noProof/>
                <w:lang w:eastAsia="en-GB"/>
              </w:rPr>
              <w:drawing>
                <wp:inline distT="0" distB="0" distL="0" distR="0" wp14:anchorId="7C902874" wp14:editId="29C4EAA0">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br/>
            </w:r>
            <w:r w:rsidRPr="7449C875">
              <w:rPr>
                <w:color w:val="D9D9D9" w:themeColor="background1" w:themeShade="D9"/>
                <w:sz w:val="18"/>
                <w:szCs w:val="18"/>
                <w:lang w:eastAsia="en-GB"/>
              </w:rPr>
              <w:t>Assess</w:t>
            </w:r>
          </w:p>
        </w:tc>
      </w:tr>
      <w:tr w:rsidR="00AB25F9" w14:paraId="6F45A58D" w14:textId="77777777" w:rsidTr="008D1FC1">
        <w:trPr>
          <w:trHeight w:val="300"/>
        </w:trPr>
        <w:tc>
          <w:tcPr>
            <w:tcW w:w="1803" w:type="dxa"/>
            <w:vMerge/>
          </w:tcPr>
          <w:p w14:paraId="67E13B4C" w14:textId="77777777" w:rsidR="00AB25F9" w:rsidRPr="008D1FC1" w:rsidRDefault="00AB25F9" w:rsidP="00007645">
            <w:pPr>
              <w:pStyle w:val="RSCBasictext"/>
              <w:rPr>
                <w:b/>
                <w:bCs/>
                <w:color w:val="006F62"/>
                <w:lang w:eastAsia="en-GB"/>
              </w:rPr>
            </w:pPr>
          </w:p>
        </w:tc>
        <w:tc>
          <w:tcPr>
            <w:tcW w:w="7212" w:type="dxa"/>
            <w:gridSpan w:val="4"/>
          </w:tcPr>
          <w:p w14:paraId="46ACD3C9" w14:textId="77777777" w:rsidR="00AB25F9" w:rsidRDefault="00AB25F9" w:rsidP="00007645">
            <w:pPr>
              <w:pStyle w:val="RSCBasictext"/>
              <w:ind w:left="0" w:firstLine="0"/>
              <w:rPr>
                <w:noProof/>
                <w:lang w:eastAsia="en-GB"/>
              </w:rPr>
            </w:pPr>
            <w:r w:rsidRPr="7449C875">
              <w:rPr>
                <w:lang w:eastAsia="en-GB"/>
              </w:rPr>
              <w:t xml:space="preserve">Use after initial teaching or discussion of this topic to develop ideas further. You can also use as a revision activity.  </w:t>
            </w:r>
          </w:p>
        </w:tc>
      </w:tr>
      <w:tr w:rsidR="00AB25F9" w14:paraId="103BFF15" w14:textId="77777777" w:rsidTr="7449C875">
        <w:trPr>
          <w:trHeight w:val="300"/>
        </w:trPr>
        <w:tc>
          <w:tcPr>
            <w:tcW w:w="1803" w:type="dxa"/>
            <w:vMerge w:val="restart"/>
            <w:shd w:val="clear" w:color="auto" w:fill="E0E88E"/>
          </w:tcPr>
          <w:p w14:paraId="5DED02C3" w14:textId="77777777" w:rsidR="00AB25F9" w:rsidRPr="008D1FC1" w:rsidRDefault="00AB25F9" w:rsidP="00007645">
            <w:pPr>
              <w:pStyle w:val="RSCBasictext"/>
              <w:ind w:left="0" w:firstLine="0"/>
              <w:rPr>
                <w:color w:val="006F62"/>
                <w:lang w:eastAsia="en-GB"/>
              </w:rPr>
            </w:pPr>
            <w:r w:rsidRPr="7449C875">
              <w:rPr>
                <w:b/>
                <w:bCs/>
                <w:color w:val="006F62"/>
                <w:lang w:eastAsia="en-GB"/>
              </w:rPr>
              <w:t>Group size?</w:t>
            </w:r>
          </w:p>
        </w:tc>
        <w:tc>
          <w:tcPr>
            <w:tcW w:w="1803" w:type="dxa"/>
          </w:tcPr>
          <w:p w14:paraId="688FEC72" w14:textId="77777777" w:rsidR="00AB25F9" w:rsidRDefault="00AB25F9" w:rsidP="00007645">
            <w:pPr>
              <w:pStyle w:val="RSCBasictext"/>
              <w:ind w:left="0" w:firstLine="0"/>
              <w:jc w:val="center"/>
              <w:rPr>
                <w:lang w:eastAsia="en-GB"/>
              </w:rPr>
            </w:pPr>
            <w:r>
              <w:rPr>
                <w:noProof/>
                <w:lang w:eastAsia="en-GB"/>
              </w:rPr>
              <w:drawing>
                <wp:inline distT="0" distB="0" distL="0" distR="0" wp14:anchorId="232F279B" wp14:editId="6780855D">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br/>
            </w:r>
            <w:r w:rsidRPr="7449C875">
              <w:rPr>
                <w:b/>
                <w:bCs/>
                <w:sz w:val="18"/>
                <w:szCs w:val="18"/>
                <w:lang w:eastAsia="en-GB"/>
              </w:rPr>
              <w:t>Independent</w:t>
            </w:r>
          </w:p>
        </w:tc>
        <w:tc>
          <w:tcPr>
            <w:tcW w:w="1803" w:type="dxa"/>
          </w:tcPr>
          <w:p w14:paraId="746ECA0C" w14:textId="77777777" w:rsidR="00AB25F9" w:rsidRDefault="00AB25F9" w:rsidP="00007645">
            <w:pPr>
              <w:pStyle w:val="RSCBasictext"/>
              <w:ind w:left="0" w:firstLine="0"/>
              <w:jc w:val="center"/>
              <w:rPr>
                <w:lang w:eastAsia="en-GB"/>
              </w:rPr>
            </w:pPr>
            <w:r>
              <w:rPr>
                <w:noProof/>
                <w:lang w:eastAsia="en-GB"/>
              </w:rPr>
              <w:drawing>
                <wp:inline distT="0" distB="0" distL="0" distR="0" wp14:anchorId="19CC2F98" wp14:editId="28F60120">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br/>
            </w:r>
            <w:r w:rsidRPr="7449C875">
              <w:rPr>
                <w:b/>
                <w:bCs/>
                <w:sz w:val="18"/>
                <w:szCs w:val="18"/>
                <w:lang w:eastAsia="en-GB"/>
              </w:rPr>
              <w:t>Small group</w:t>
            </w:r>
          </w:p>
        </w:tc>
        <w:tc>
          <w:tcPr>
            <w:tcW w:w="1803" w:type="dxa"/>
          </w:tcPr>
          <w:p w14:paraId="594A1922" w14:textId="77777777" w:rsidR="00AB25F9" w:rsidRDefault="00AB25F9" w:rsidP="00007645">
            <w:pPr>
              <w:pStyle w:val="RSCBasictext"/>
              <w:ind w:left="0" w:firstLine="0"/>
              <w:jc w:val="center"/>
              <w:rPr>
                <w:lang w:eastAsia="en-GB"/>
              </w:rPr>
            </w:pPr>
            <w:r>
              <w:rPr>
                <w:noProof/>
                <w:lang w:eastAsia="en-GB"/>
              </w:rPr>
              <w:drawing>
                <wp:inline distT="0" distB="0" distL="0" distR="0" wp14:anchorId="75C82D16" wp14:editId="0C698109">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br/>
            </w:r>
            <w:r w:rsidRPr="7449C875">
              <w:rPr>
                <w:b/>
                <w:bCs/>
                <w:sz w:val="18"/>
                <w:szCs w:val="18"/>
                <w:lang w:eastAsia="en-GB"/>
              </w:rPr>
              <w:t>Whole class</w:t>
            </w:r>
          </w:p>
        </w:tc>
        <w:tc>
          <w:tcPr>
            <w:tcW w:w="1803" w:type="dxa"/>
          </w:tcPr>
          <w:p w14:paraId="0AB3010D" w14:textId="77777777" w:rsidR="00AB25F9" w:rsidRDefault="00AB25F9" w:rsidP="00007645">
            <w:pPr>
              <w:pStyle w:val="RSCBasictext"/>
              <w:ind w:left="0" w:firstLine="0"/>
              <w:jc w:val="center"/>
              <w:rPr>
                <w:lang w:eastAsia="en-GB"/>
              </w:rPr>
            </w:pPr>
            <w:r>
              <w:rPr>
                <w:noProof/>
                <w:lang w:eastAsia="en-GB"/>
              </w:rPr>
              <w:drawing>
                <wp:inline distT="0" distB="0" distL="0" distR="0" wp14:anchorId="6971D893" wp14:editId="29A075C6">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r>
              <w:br/>
            </w:r>
            <w:r w:rsidRPr="7449C875">
              <w:rPr>
                <w:b/>
                <w:bCs/>
                <w:sz w:val="18"/>
                <w:szCs w:val="18"/>
                <w:lang w:eastAsia="en-GB"/>
              </w:rPr>
              <w:t>Homework</w:t>
            </w:r>
          </w:p>
        </w:tc>
      </w:tr>
      <w:tr w:rsidR="00AB25F9" w14:paraId="5B7CE871" w14:textId="77777777" w:rsidTr="008D1FC1">
        <w:trPr>
          <w:trHeight w:val="300"/>
        </w:trPr>
        <w:tc>
          <w:tcPr>
            <w:tcW w:w="1803" w:type="dxa"/>
            <w:vMerge/>
          </w:tcPr>
          <w:p w14:paraId="68B5744F" w14:textId="77777777" w:rsidR="00AB25F9" w:rsidRPr="008D1FC1" w:rsidRDefault="00AB25F9" w:rsidP="00007645">
            <w:pPr>
              <w:pStyle w:val="RSCBasictext"/>
              <w:rPr>
                <w:b/>
                <w:bCs/>
                <w:color w:val="006F62"/>
                <w:lang w:eastAsia="en-GB"/>
              </w:rPr>
            </w:pPr>
          </w:p>
        </w:tc>
        <w:tc>
          <w:tcPr>
            <w:tcW w:w="7212" w:type="dxa"/>
            <w:gridSpan w:val="4"/>
          </w:tcPr>
          <w:p w14:paraId="143BF6EF" w14:textId="77777777" w:rsidR="00AB25F9" w:rsidRDefault="00AB25F9" w:rsidP="00007645">
            <w:pPr>
              <w:pStyle w:val="RSCBasictext"/>
              <w:ind w:left="0" w:firstLine="0"/>
              <w:rPr>
                <w:noProof/>
                <w:lang w:eastAsia="en-GB"/>
              </w:rPr>
            </w:pPr>
            <w:r w:rsidRPr="7449C875">
              <w:rPr>
                <w:lang w:eastAsia="en-GB"/>
              </w:rPr>
              <w:t>Suitable for independent work either in class or at home. Or use the questions for group or class discussions.</w:t>
            </w:r>
          </w:p>
        </w:tc>
      </w:tr>
      <w:tr w:rsidR="00AB25F9" w14:paraId="57FB06D1" w14:textId="77777777" w:rsidTr="7449C875">
        <w:trPr>
          <w:trHeight w:val="300"/>
        </w:trPr>
        <w:tc>
          <w:tcPr>
            <w:tcW w:w="1803" w:type="dxa"/>
            <w:shd w:val="clear" w:color="auto" w:fill="E0E88E"/>
          </w:tcPr>
          <w:p w14:paraId="61EE2B0A" w14:textId="77777777" w:rsidR="00AB25F9" w:rsidRPr="008D1FC1" w:rsidRDefault="00AB25F9" w:rsidP="00007645">
            <w:pPr>
              <w:pStyle w:val="RSCBasictext"/>
              <w:ind w:left="0" w:firstLine="0"/>
              <w:rPr>
                <w:color w:val="006F62"/>
                <w:lang w:eastAsia="en-GB"/>
              </w:rPr>
            </w:pPr>
            <w:r w:rsidRPr="7449C875">
              <w:rPr>
                <w:b/>
                <w:bCs/>
                <w:color w:val="006F62"/>
                <w:lang w:eastAsia="en-GB"/>
              </w:rPr>
              <w:t>How long?</w:t>
            </w:r>
          </w:p>
        </w:tc>
        <w:tc>
          <w:tcPr>
            <w:tcW w:w="3606" w:type="dxa"/>
            <w:gridSpan w:val="2"/>
            <w:vAlign w:val="center"/>
          </w:tcPr>
          <w:p w14:paraId="08F5FF5E" w14:textId="77777777" w:rsidR="00AB25F9" w:rsidRDefault="00AB25F9" w:rsidP="00007645">
            <w:pPr>
              <w:pStyle w:val="RSCBasictext"/>
              <w:ind w:left="0" w:firstLine="0"/>
              <w:jc w:val="center"/>
              <w:rPr>
                <w:lang w:eastAsia="en-GB"/>
              </w:rPr>
            </w:pPr>
            <w:r>
              <w:rPr>
                <w:noProof/>
                <w:lang w:eastAsia="en-GB"/>
              </w:rPr>
              <w:drawing>
                <wp:inline distT="0" distB="0" distL="0" distR="0" wp14:anchorId="353429EC" wp14:editId="2B61B4AC">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
                          <pic:cNvPicPr/>
                        </pic:nvPicPr>
                        <pic:blipFill>
                          <a:blip r:embed="rId30">
                            <a:extLst>
                              <a:ext uri="{96DAC541-7B7A-43D3-8B79-37D633B846F1}">
                                <asvg:svgBlip xmlns:asvg="http://schemas.microsoft.com/office/drawing/2016/SVG/main" r:embed="rId31"/>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00500B58" wp14:editId="7794C90D">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pic:cNvPicPr/>
                        </pic:nvPicPr>
                        <pic:blipFill>
                          <a:blip r:embed="rId32">
                            <a:extLst>
                              <a:ext uri="{96DAC541-7B7A-43D3-8B79-37D633B846F1}">
                                <asvg:svgBlip xmlns:asvg="http://schemas.microsoft.com/office/drawing/2016/SVG/main" r:embed="rId33"/>
                              </a:ext>
                            </a:extLst>
                          </a:blip>
                          <a:stretch>
                            <a:fillRect/>
                          </a:stretch>
                        </pic:blipFill>
                        <pic:spPr>
                          <a:xfrm>
                            <a:off x="0" y="0"/>
                            <a:ext cx="236220" cy="502920"/>
                          </a:xfrm>
                          <a:prstGeom prst="rect">
                            <a:avLst/>
                          </a:prstGeom>
                        </pic:spPr>
                      </pic:pic>
                    </a:graphicData>
                  </a:graphic>
                </wp:inline>
              </w:drawing>
            </w:r>
            <w:r>
              <w:rPr>
                <w:noProof/>
                <w:lang w:eastAsia="en-GB"/>
              </w:rPr>
              <w:drawing>
                <wp:inline distT="0" distB="0" distL="0" distR="0" wp14:anchorId="7506FA3A" wp14:editId="5224DCAA">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pic:nvPicPr>
                        <pic:blipFill>
                          <a:blip r:embed="rId34">
                            <a:extLst>
                              <a:ext uri="{96DAC541-7B7A-43D3-8B79-37D633B846F1}">
                                <asvg:svgBlip xmlns:asvg="http://schemas.microsoft.com/office/drawing/2016/SVG/main" r:embed="rId35"/>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60527FBB" w14:textId="77777777" w:rsidR="00AB25F9" w:rsidRDefault="00AB25F9" w:rsidP="00007645">
            <w:pPr>
              <w:pStyle w:val="RSCBasictext"/>
              <w:ind w:left="0" w:firstLine="0"/>
              <w:jc w:val="center"/>
              <w:rPr>
                <w:lang w:eastAsia="en-GB"/>
              </w:rPr>
            </w:pPr>
            <w:r>
              <w:t>15–30 mins</w:t>
            </w:r>
          </w:p>
        </w:tc>
      </w:tr>
      <w:bookmarkEnd w:id="1"/>
    </w:tbl>
    <w:p w14:paraId="3FB559F9" w14:textId="77777777" w:rsidR="00075D10" w:rsidRDefault="00075D10" w:rsidP="7449C875">
      <w:pPr>
        <w:pStyle w:val="RSCBasictext"/>
      </w:pPr>
    </w:p>
    <w:p w14:paraId="60C3EC5B" w14:textId="3397E09C" w:rsidR="002559F3" w:rsidRDefault="002559F3" w:rsidP="002559F3">
      <w:pPr>
        <w:pStyle w:val="RSCH2"/>
        <w:rPr>
          <w:lang w:eastAsia="en-GB"/>
        </w:rPr>
      </w:pPr>
      <w:bookmarkStart w:id="2" w:name="_Hlk178612762"/>
      <w:bookmarkStart w:id="3" w:name="_Hlk179378146"/>
      <w:bookmarkStart w:id="4" w:name="_Hlk166166092"/>
      <w:r w:rsidRPr="7449C875">
        <w:rPr>
          <w:lang w:eastAsia="en-GB"/>
        </w:rPr>
        <w:lastRenderedPageBreak/>
        <w:t>Johnstone’s triangle</w:t>
      </w:r>
    </w:p>
    <w:p w14:paraId="574F53CC" w14:textId="33C42BE1" w:rsidR="002559F3" w:rsidRDefault="002559F3" w:rsidP="002559F3">
      <w:pPr>
        <w:pStyle w:val="RSCBasictext"/>
        <w:rPr>
          <w:lang w:eastAsia="en-GB"/>
        </w:rPr>
      </w:pPr>
      <w:r>
        <w:t xml:space="preserve">Johnstone’s triangle is a model of the three different conceptual levels in chemistry: macroscopic, </w:t>
      </w:r>
      <w:r w:rsidR="1F0FF441">
        <w:t xml:space="preserve">sub-microscopic and </w:t>
      </w:r>
      <w:r>
        <w:t xml:space="preserve">symbolic. </w:t>
      </w:r>
      <w:r w:rsidRPr="19A260E1">
        <w:rPr>
          <w:lang w:eastAsia="en-GB"/>
        </w:rPr>
        <w:t>You can use Johnstone’s triangle to build a secure understanding of chemical ideas for your learners.</w:t>
      </w:r>
    </w:p>
    <w:p w14:paraId="194E92CD" w14:textId="2273DCDB" w:rsidR="002559F3" w:rsidRDefault="002559F3" w:rsidP="002559F3">
      <w:pPr>
        <w:pStyle w:val="RSCBasictext"/>
        <w:rPr>
          <w:rStyle w:val="Hyperlink"/>
          <w:color w:val="C00000"/>
        </w:rPr>
      </w:pPr>
      <w:r w:rsidRPr="19A260E1">
        <w:rPr>
          <w:lang w:eastAsia="en-GB"/>
        </w:rPr>
        <w:t xml:space="preserve">Find further reading about Johnstone’s triangle and how to use it in your teaching at </w:t>
      </w:r>
      <w:bookmarkStart w:id="5" w:name="_Hlk174103695"/>
      <w:r w:rsidR="004D733D" w:rsidRPr="009A6D00">
        <w:rPr>
          <w:color w:val="006F62"/>
        </w:rPr>
        <w:fldChar w:fldCharType="begin"/>
      </w:r>
      <w:r w:rsidR="004D733D" w:rsidRPr="009A6D00">
        <w:rPr>
          <w:color w:val="006F62"/>
        </w:rPr>
        <w:instrText>HYPERLINK "https://rsc.li/4kIRGkR"</w:instrText>
      </w:r>
      <w:r w:rsidR="004D733D" w:rsidRPr="009A6D00">
        <w:rPr>
          <w:color w:val="006F62"/>
        </w:rPr>
      </w:r>
      <w:r w:rsidR="004D733D" w:rsidRPr="009A6D00">
        <w:rPr>
          <w:color w:val="006F62"/>
        </w:rPr>
        <w:fldChar w:fldCharType="separate"/>
      </w:r>
      <w:r w:rsidR="004D733D" w:rsidRPr="009A6D00">
        <w:rPr>
          <w:rStyle w:val="Hyperlink"/>
          <w:color w:val="006F62"/>
        </w:rPr>
        <w:t>rsc.li/4kIRGkR</w:t>
      </w:r>
      <w:r w:rsidR="004D733D" w:rsidRPr="009A6D00">
        <w:rPr>
          <w:color w:val="006F62"/>
        </w:rPr>
        <w:fldChar w:fldCharType="end"/>
      </w:r>
      <w:r w:rsidR="004D733D">
        <w:t>.</w:t>
      </w:r>
    </w:p>
    <w:bookmarkEnd w:id="2"/>
    <w:p w14:paraId="76628634" w14:textId="6D7EF9E6" w:rsidR="002559F3" w:rsidRPr="002559F3" w:rsidRDefault="002559F3" w:rsidP="002559F3">
      <w:pPr>
        <w:pStyle w:val="RSCH3"/>
      </w:pPr>
      <w:r w:rsidRPr="7449C875">
        <w:rPr>
          <w:rStyle w:val="Hyperlink"/>
          <w:color w:val="006F62"/>
          <w:u w:val="none"/>
        </w:rPr>
        <w:t>Johnstone’s triangle and this resource</w:t>
      </w:r>
    </w:p>
    <w:p w14:paraId="3CC380E3" w14:textId="77777777" w:rsidR="002559F3" w:rsidRDefault="002559F3" w:rsidP="002559F3">
      <w:pPr>
        <w:pStyle w:val="RSCBasictext"/>
        <w:spacing w:after="0"/>
      </w:pPr>
      <w:bookmarkStart w:id="6" w:name="_Hlk176954795"/>
      <w:bookmarkEnd w:id="5"/>
      <w:r>
        <w:t>The icons in the margin indicate which level of understanding each question is developing to help prompt learners in their thinking.</w:t>
      </w:r>
    </w:p>
    <w:p w14:paraId="33345204" w14:textId="77777777" w:rsidR="002559F3" w:rsidRDefault="002559F3" w:rsidP="002559F3">
      <w:pPr>
        <w:pStyle w:val="RSCBasictext"/>
        <w:spacing w:after="0"/>
      </w:pP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7918"/>
      </w:tblGrid>
      <w:tr w:rsidR="002559F3" w14:paraId="0546A1F3" w14:textId="77777777" w:rsidTr="001A405A">
        <w:trPr>
          <w:trHeight w:val="537"/>
        </w:trPr>
        <w:tc>
          <w:tcPr>
            <w:tcW w:w="1000" w:type="dxa"/>
            <w:vAlign w:val="center"/>
          </w:tcPr>
          <w:p w14:paraId="793B3D37" w14:textId="2070F46D" w:rsidR="002559F3" w:rsidRDefault="00C37BFE" w:rsidP="00007645">
            <w:pPr>
              <w:pStyle w:val="RSCBasictext"/>
              <w:spacing w:after="0"/>
              <w:ind w:left="0" w:firstLine="0"/>
              <w:jc w:val="center"/>
            </w:pPr>
            <w:r>
              <w:rPr>
                <w:noProof/>
                <w:lang w:eastAsia="en-GB"/>
              </w:rPr>
              <w:drawing>
                <wp:inline distT="0" distB="0" distL="0" distR="0" wp14:anchorId="285DB35F" wp14:editId="2DB6F8B6">
                  <wp:extent cx="396000" cy="396000"/>
                  <wp:effectExtent l="0" t="0" r="4445" b="4445"/>
                  <wp:docPr id="729749225" name="Picture 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49225" name="Picture 1" descr="An icon used to indicate the Ma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7918" w:type="dxa"/>
            <w:vAlign w:val="center"/>
          </w:tcPr>
          <w:p w14:paraId="70A8580B" w14:textId="77777777" w:rsidR="002559F3" w:rsidRDefault="002559F3" w:rsidP="002D62C6">
            <w:pPr>
              <w:pStyle w:val="RSCBasictext"/>
              <w:spacing w:before="120"/>
              <w:ind w:left="0" w:firstLine="0"/>
            </w:pPr>
            <w:r w:rsidRPr="7449C875">
              <w:rPr>
                <w:b/>
                <w:bCs/>
                <w:color w:val="006F62"/>
              </w:rPr>
              <w:t>Macroscopic:</w:t>
            </w:r>
            <w:r w:rsidRPr="7449C875">
              <w:rPr>
                <w:color w:val="006F62"/>
              </w:rPr>
              <w:t xml:space="preserve"> </w:t>
            </w:r>
            <w:r>
              <w:t>what we can see. Think about the properties that we can observe, measure and record.</w:t>
            </w:r>
          </w:p>
        </w:tc>
      </w:tr>
      <w:tr w:rsidR="002559F3" w14:paraId="775D3EA0" w14:textId="77777777" w:rsidTr="001A405A">
        <w:trPr>
          <w:trHeight w:val="537"/>
        </w:trPr>
        <w:tc>
          <w:tcPr>
            <w:tcW w:w="1000" w:type="dxa"/>
            <w:vAlign w:val="center"/>
          </w:tcPr>
          <w:p w14:paraId="01BF95D0" w14:textId="56F21E20" w:rsidR="002559F3" w:rsidRDefault="006E4FF6" w:rsidP="00007645">
            <w:pPr>
              <w:pStyle w:val="RSCBasictext"/>
              <w:spacing w:after="0"/>
              <w:ind w:left="0" w:firstLine="0"/>
              <w:jc w:val="center"/>
            </w:pPr>
            <w:r>
              <w:rPr>
                <w:noProof/>
                <w:lang w:eastAsia="en-GB"/>
              </w:rPr>
              <w:drawing>
                <wp:inline distT="0" distB="0" distL="0" distR="0" wp14:anchorId="217A84DF" wp14:editId="74483148">
                  <wp:extent cx="396000" cy="396000"/>
                  <wp:effectExtent l="0" t="0" r="4445" b="4445"/>
                  <wp:docPr id="1324314289" name="Picture 1"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14289" name="Picture 1" descr="An icon used to indicate the Sub-microscop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7918" w:type="dxa"/>
            <w:vAlign w:val="center"/>
          </w:tcPr>
          <w:p w14:paraId="2DE2F852" w14:textId="799CC6CE" w:rsidR="002559F3" w:rsidRDefault="002559F3" w:rsidP="002D62C6">
            <w:pPr>
              <w:pStyle w:val="RSCBasictext"/>
              <w:spacing w:before="120"/>
              <w:ind w:left="0" w:firstLine="0"/>
            </w:pPr>
            <w:r w:rsidRPr="7449C875">
              <w:rPr>
                <w:b/>
                <w:bCs/>
                <w:color w:val="006F62"/>
              </w:rPr>
              <w:t>Sub-microscopic:</w:t>
            </w:r>
            <w:r w:rsidRPr="7449C875">
              <w:rPr>
                <w:color w:val="006F62"/>
              </w:rPr>
              <w:t xml:space="preserve"> </w:t>
            </w:r>
            <w:r>
              <w:t>smaller than we can see. Think about the particle or atomic level.</w:t>
            </w:r>
          </w:p>
        </w:tc>
      </w:tr>
      <w:tr w:rsidR="002559F3" w14:paraId="75A89228" w14:textId="77777777" w:rsidTr="001A405A">
        <w:trPr>
          <w:trHeight w:val="537"/>
        </w:trPr>
        <w:tc>
          <w:tcPr>
            <w:tcW w:w="1000" w:type="dxa"/>
            <w:vAlign w:val="center"/>
          </w:tcPr>
          <w:p w14:paraId="4F3872FD" w14:textId="6EAEB5DA" w:rsidR="002559F3" w:rsidRDefault="001A405A" w:rsidP="00007645">
            <w:pPr>
              <w:pStyle w:val="RSCBasictext"/>
              <w:spacing w:after="0"/>
              <w:ind w:left="0" w:firstLine="0"/>
              <w:jc w:val="center"/>
            </w:pPr>
            <w:r>
              <w:rPr>
                <w:noProof/>
                <w:lang w:eastAsia="en-GB"/>
              </w:rPr>
              <w:drawing>
                <wp:inline distT="0" distB="0" distL="0" distR="0" wp14:anchorId="3F83717E" wp14:editId="30A5CE02">
                  <wp:extent cx="396000" cy="396000"/>
                  <wp:effectExtent l="0" t="0" r="4445" b="4445"/>
                  <wp:docPr id="12919426" name="Picture 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26" name="Picture 1" descr="An icon used to indicate the Symbolic part of Johnstone's triangl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7918" w:type="dxa"/>
            <w:vAlign w:val="center"/>
          </w:tcPr>
          <w:p w14:paraId="43A03F48" w14:textId="3F371DB6" w:rsidR="002559F3" w:rsidRDefault="002559F3" w:rsidP="002D62C6">
            <w:pPr>
              <w:pStyle w:val="RSCBasictext"/>
              <w:spacing w:before="120"/>
              <w:ind w:left="0" w:firstLine="0"/>
            </w:pPr>
            <w:r w:rsidRPr="7449C875">
              <w:rPr>
                <w:b/>
                <w:bCs/>
                <w:color w:val="006F62"/>
              </w:rPr>
              <w:t>Symbolic:</w:t>
            </w:r>
            <w:r w:rsidRPr="7449C875">
              <w:rPr>
                <w:color w:val="006F62"/>
              </w:rPr>
              <w:t xml:space="preserve"> </w:t>
            </w:r>
            <w:r>
              <w:t>representations. Think about how we represent chemical ideas including symbols and diagrams.</w:t>
            </w:r>
          </w:p>
        </w:tc>
      </w:tr>
    </w:tbl>
    <w:p w14:paraId="5EFC030A" w14:textId="77777777" w:rsidR="002559F3" w:rsidRDefault="002559F3" w:rsidP="002559F3">
      <w:pPr>
        <w:pStyle w:val="RSCBasictext"/>
        <w:spacing w:after="0"/>
      </w:pPr>
    </w:p>
    <w:p w14:paraId="050D6FE0" w14:textId="45940DAF" w:rsidR="002559F3" w:rsidRPr="00367414" w:rsidRDefault="002559F3" w:rsidP="002559F3">
      <w:pPr>
        <w:pStyle w:val="RSCBasictext"/>
      </w:pPr>
      <w:r>
        <w:t>The levels are interrelated, for example, learners need visual representation of the sub-microscopic to develop mental models of the particle or atomic level. Our approach has been to apply icons to questions based on what the learners should be thinking about.</w:t>
      </w:r>
    </w:p>
    <w:p w14:paraId="6F89A4A9" w14:textId="77777777" w:rsidR="002559F3" w:rsidRDefault="002559F3" w:rsidP="002559F3">
      <w:pPr>
        <w:pStyle w:val="RSCBasictext"/>
      </w:pPr>
      <w:r>
        <w:t xml:space="preserve">Questions may be marked with two or all three icons, indicating that learners will be thinking at more than one level. However, individual parts of the question may require learners to think about only one or two specific levels at a time. </w:t>
      </w:r>
    </w:p>
    <w:p w14:paraId="0E7EE1C1" w14:textId="77777777" w:rsidR="002559F3" w:rsidRDefault="002559F3" w:rsidP="002559F3">
      <w:pPr>
        <w:pStyle w:val="RSCH2"/>
        <w:spacing w:before="240"/>
        <w:rPr>
          <w:lang w:eastAsia="en-GB"/>
        </w:rPr>
      </w:pPr>
      <w:r w:rsidRPr="7449C875">
        <w:rPr>
          <w:lang w:eastAsia="en-GB"/>
        </w:rPr>
        <w:t>Support</w:t>
      </w:r>
    </w:p>
    <w:p w14:paraId="34A7746B" w14:textId="77777777" w:rsidR="002559F3" w:rsidRDefault="002559F3" w:rsidP="002559F3">
      <w:pPr>
        <w:pStyle w:val="RSC2-columntabs"/>
        <w:rPr>
          <w:lang w:eastAsia="en-GB"/>
        </w:rPr>
      </w:pPr>
      <w:r w:rsidRPr="7449C875">
        <w:rPr>
          <w:lang w:eastAsia="en-GB"/>
        </w:rPr>
        <w:t xml:space="preserve">This worksheet is ramped so that the earlier questions are more accessible. The activity becomes more challenging in the later questions. You can give extra explanations for the more challenging questions. If completing as an in-class activity it is best to pause and check understanding at intervals, as often one question builds on the previous one. </w:t>
      </w:r>
    </w:p>
    <w:p w14:paraId="1729F568" w14:textId="77777777" w:rsidR="002559F3" w:rsidRDefault="002559F3" w:rsidP="002559F3">
      <w:pPr>
        <w:pStyle w:val="RSCBasictext"/>
        <w:rPr>
          <w:lang w:eastAsia="en-GB"/>
        </w:rPr>
      </w:pPr>
      <w:r>
        <w:t xml:space="preserve">It is </w:t>
      </w:r>
      <w:r w:rsidRPr="7449C875">
        <w:rPr>
          <w:lang w:eastAsia="en-GB"/>
        </w:rPr>
        <w:t xml:space="preserve">useful for learners to observe macroscopic properties first-hand. You could circulate examples of substances in the classroom, run a class practical of a chemical reaction or show a teacher demonstration of properties. </w:t>
      </w:r>
    </w:p>
    <w:p w14:paraId="3FB843AA" w14:textId="103A44DF" w:rsidR="002559F3" w:rsidRDefault="002559F3" w:rsidP="002559F3">
      <w:pPr>
        <w:pStyle w:val="RSCBasictext"/>
        <w:rPr>
          <w:lang w:eastAsia="en-GB"/>
        </w:rPr>
      </w:pPr>
      <w:r>
        <w:t>Give</w:t>
      </w:r>
      <w:r w:rsidRPr="7449C875">
        <w:rPr>
          <w:lang w:eastAsia="en-GB"/>
        </w:rPr>
        <w:t xml:space="preserve"> learners physical models to use and manipulate, such </w:t>
      </w:r>
      <w:r w:rsidR="008D1FC1">
        <w:rPr>
          <w:lang w:eastAsia="en-GB"/>
        </w:rPr>
        <w:t>models of the particle model made of marbles or similar.</w:t>
      </w:r>
    </w:p>
    <w:p w14:paraId="1B08A308" w14:textId="77777777" w:rsidR="002559F3" w:rsidRDefault="002559F3" w:rsidP="002559F3">
      <w:pPr>
        <w:pStyle w:val="RSCBasictext"/>
        <w:rPr>
          <w:lang w:eastAsia="en-GB"/>
        </w:rPr>
      </w:pPr>
      <w:r>
        <w:t xml:space="preserve">Additional support may be needed for any learners still lacking in confidence in the required symbolic representation, for example by sharing and explaining a diagram or a </w:t>
      </w:r>
      <w:r w:rsidRPr="7449C875">
        <w:rPr>
          <w:lang w:eastAsia="en-GB"/>
        </w:rPr>
        <w:t>simulation that can show movement of the particles.</w:t>
      </w:r>
    </w:p>
    <w:bookmarkEnd w:id="3"/>
    <w:bookmarkEnd w:id="4"/>
    <w:bookmarkEnd w:id="6"/>
    <w:p w14:paraId="319601D4" w14:textId="5AFFB452" w:rsidR="00A5740C" w:rsidRPr="004102F1" w:rsidRDefault="00C67BC3" w:rsidP="004102F1">
      <w:pPr>
        <w:pStyle w:val="RSCH2"/>
      </w:pPr>
      <w:r>
        <w:rPr>
          <w:noProof/>
          <w:lang w:eastAsia="en-GB"/>
        </w:rPr>
        <w:lastRenderedPageBreak/>
        <w:drawing>
          <wp:anchor distT="0" distB="0" distL="114300" distR="114300" simplePos="0" relativeHeight="251670528" behindDoc="0" locked="0" layoutInCell="1" allowOverlap="1" wp14:anchorId="788A0822" wp14:editId="1EB5A347">
            <wp:simplePos x="0" y="0"/>
            <wp:positionH relativeFrom="leftMargin">
              <wp:align>right</wp:align>
            </wp:positionH>
            <wp:positionV relativeFrom="page">
              <wp:posOffset>1431925</wp:posOffset>
            </wp:positionV>
            <wp:extent cx="360000" cy="360000"/>
            <wp:effectExtent l="0" t="0" r="2540" b="2540"/>
            <wp:wrapNone/>
            <wp:docPr id="571199257" name="Picture 1" descr="An icon indicating that Question 1 uses Ma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99257" name="Picture 1" descr="An icon indicating that Question 1 uses Macroscop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8540CC">
        <w:t>Answers</w:t>
      </w:r>
    </w:p>
    <w:p w14:paraId="49BA1850" w14:textId="697224EE" w:rsidR="2180EBEF" w:rsidRDefault="2180EBEF" w:rsidP="7449C875">
      <w:pPr>
        <w:pStyle w:val="RSCnumberedlist"/>
      </w:pPr>
      <w:r w:rsidRPr="7449C875">
        <w:rPr>
          <w:rFonts w:eastAsia="Century Gothic" w:cs="Century Gothic"/>
          <w:i/>
          <w:iCs/>
          <w:color w:val="006F62"/>
        </w:rPr>
        <w:t xml:space="preserve">Guidance </w:t>
      </w:r>
      <w:proofErr w:type="gramStart"/>
      <w:r w:rsidRPr="7449C875">
        <w:rPr>
          <w:rFonts w:eastAsia="Century Gothic" w:cs="Century Gothic"/>
          <w:i/>
          <w:iCs/>
          <w:color w:val="006F62"/>
        </w:rPr>
        <w:t>note</w:t>
      </w:r>
      <w:proofErr w:type="gramEnd"/>
      <w:r w:rsidRPr="7449C875">
        <w:rPr>
          <w:rFonts w:eastAsia="Century Gothic" w:cs="Century Gothic"/>
          <w:i/>
          <w:iCs/>
          <w:color w:val="006F62"/>
        </w:rPr>
        <w:t xml:space="preserve">: </w:t>
      </w:r>
      <w:r w:rsidR="00A12917">
        <w:rPr>
          <w:rFonts w:eastAsia="Century Gothic" w:cs="Century Gothic"/>
        </w:rPr>
        <w:t xml:space="preserve">The question develops </w:t>
      </w:r>
      <w:r w:rsidR="00BC2454">
        <w:rPr>
          <w:rFonts w:eastAsia="Century Gothic" w:cs="Century Gothic"/>
        </w:rPr>
        <w:t xml:space="preserve">learners’ </w:t>
      </w:r>
      <w:r w:rsidR="00A12917">
        <w:rPr>
          <w:rFonts w:eastAsia="Century Gothic" w:cs="Century Gothic"/>
        </w:rPr>
        <w:t>understanding of</w:t>
      </w:r>
      <w:r w:rsidR="005D32E8">
        <w:rPr>
          <w:rFonts w:eastAsia="Century Gothic" w:cs="Century Gothic"/>
        </w:rPr>
        <w:t xml:space="preserve"> the </w:t>
      </w:r>
      <w:r w:rsidR="0094224F">
        <w:rPr>
          <w:rFonts w:eastAsia="Century Gothic" w:cs="Century Gothic"/>
        </w:rPr>
        <w:t xml:space="preserve">sharp </w:t>
      </w:r>
      <w:r w:rsidR="005D32E8">
        <w:rPr>
          <w:rFonts w:eastAsia="Century Gothic" w:cs="Century Gothic"/>
        </w:rPr>
        <w:t xml:space="preserve">melting point of a pure </w:t>
      </w:r>
      <w:r w:rsidR="00BC2454">
        <w:rPr>
          <w:rFonts w:eastAsia="Century Gothic" w:cs="Century Gothic"/>
        </w:rPr>
        <w:t>metal compared with</w:t>
      </w:r>
      <w:r w:rsidR="00676164">
        <w:rPr>
          <w:rFonts w:eastAsia="Century Gothic" w:cs="Century Gothic"/>
        </w:rPr>
        <w:t xml:space="preserve"> an impure sample</w:t>
      </w:r>
      <w:r w:rsidR="00BC2454">
        <w:rPr>
          <w:rFonts w:eastAsia="Century Gothic" w:cs="Century Gothic"/>
        </w:rPr>
        <w:t xml:space="preserve"> melting over a range of temperatures </w:t>
      </w:r>
      <w:r w:rsidR="005D32E8">
        <w:rPr>
          <w:rFonts w:eastAsia="Century Gothic" w:cs="Century Gothic"/>
        </w:rPr>
        <w:t>(macroscopic understanding)</w:t>
      </w:r>
      <w:r w:rsidR="00676164">
        <w:rPr>
          <w:rFonts w:eastAsia="Century Gothic" w:cs="Century Gothic"/>
        </w:rPr>
        <w:t>.</w:t>
      </w:r>
    </w:p>
    <w:p w14:paraId="6F2CC6D9" w14:textId="34C6D66F" w:rsidR="7449C875" w:rsidRDefault="005C77A6" w:rsidP="008D1FC1">
      <w:pPr>
        <w:pStyle w:val="RSCnumberedlist"/>
        <w:numPr>
          <w:ilvl w:val="0"/>
          <w:numId w:val="0"/>
        </w:numPr>
      </w:pPr>
      <w:r>
        <w:t>B and C</w:t>
      </w:r>
    </w:p>
    <w:p w14:paraId="48C1DC6C" w14:textId="5EB30410" w:rsidR="008D1FC1" w:rsidRDefault="000F1648" w:rsidP="008D1FC1">
      <w:pPr>
        <w:pStyle w:val="RSCnumberedlist"/>
        <w:numPr>
          <w:ilvl w:val="0"/>
          <w:numId w:val="0"/>
        </w:numPr>
      </w:pPr>
      <w:r>
        <w:rPr>
          <w:noProof/>
          <w:lang w:eastAsia="en-GB"/>
        </w:rPr>
        <w:drawing>
          <wp:anchor distT="0" distB="0" distL="114300" distR="114300" simplePos="0" relativeHeight="251672576" behindDoc="0" locked="0" layoutInCell="1" allowOverlap="1" wp14:anchorId="14AFC317" wp14:editId="0EC5791A">
            <wp:simplePos x="0" y="0"/>
            <wp:positionH relativeFrom="leftMargin">
              <wp:align>right</wp:align>
            </wp:positionH>
            <wp:positionV relativeFrom="page">
              <wp:posOffset>2326005</wp:posOffset>
            </wp:positionV>
            <wp:extent cx="360000" cy="360000"/>
            <wp:effectExtent l="0" t="0" r="2540" b="2540"/>
            <wp:wrapNone/>
            <wp:docPr id="1590723196" name="Picture 1" descr="An icon indicating that Question 2 uses Ma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23196" name="Picture 1" descr="An icon indicating that Question 2 uses Macroscop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EE0E5A2" w14:textId="5216F009" w:rsidR="008D1FC1" w:rsidRPr="00A47B07" w:rsidRDefault="1ADA9475" w:rsidP="008D1FC1">
      <w:pPr>
        <w:pStyle w:val="RSCnumberedlist"/>
      </w:pPr>
      <w:r w:rsidRPr="7449C875">
        <w:rPr>
          <w:rFonts w:eastAsia="Century Gothic" w:cs="Century Gothic"/>
          <w:i/>
          <w:iCs/>
          <w:color w:val="006F62"/>
        </w:rPr>
        <w:t xml:space="preserve">Guidance </w:t>
      </w:r>
      <w:proofErr w:type="gramStart"/>
      <w:r w:rsidRPr="7449C875">
        <w:rPr>
          <w:rFonts w:eastAsia="Century Gothic" w:cs="Century Gothic"/>
          <w:i/>
          <w:iCs/>
          <w:color w:val="006F62"/>
        </w:rPr>
        <w:t>note</w:t>
      </w:r>
      <w:proofErr w:type="gramEnd"/>
      <w:r w:rsidRPr="7449C875">
        <w:rPr>
          <w:rFonts w:eastAsia="Century Gothic" w:cs="Century Gothic"/>
          <w:i/>
          <w:iCs/>
          <w:color w:val="006F62"/>
        </w:rPr>
        <w:t xml:space="preserve">: </w:t>
      </w:r>
      <w:r w:rsidR="00483B60">
        <w:rPr>
          <w:rFonts w:eastAsia="Century Gothic" w:cs="Century Gothic"/>
        </w:rPr>
        <w:t xml:space="preserve">This question develops learners’ understanding of the link between </w:t>
      </w:r>
      <w:r w:rsidR="00F15F9D">
        <w:rPr>
          <w:rFonts w:eastAsia="Century Gothic" w:cs="Century Gothic"/>
        </w:rPr>
        <w:t xml:space="preserve">melting point and the state of a substance at a given temperature </w:t>
      </w:r>
      <w:r w:rsidR="002C6318">
        <w:rPr>
          <w:rFonts w:eastAsia="Century Gothic" w:cs="Century Gothic"/>
        </w:rPr>
        <w:t xml:space="preserve">above or below that melting point </w:t>
      </w:r>
      <w:r w:rsidR="00F15F9D">
        <w:rPr>
          <w:rFonts w:eastAsia="Century Gothic" w:cs="Century Gothic"/>
        </w:rPr>
        <w:t xml:space="preserve">(macroscopic understanding). </w:t>
      </w:r>
    </w:p>
    <w:p w14:paraId="1B5A2BA3" w14:textId="29C9F395" w:rsidR="00A47B07" w:rsidRDefault="00A47B07" w:rsidP="00A47B07">
      <w:pPr>
        <w:pStyle w:val="RSCletteredlist"/>
      </w:pPr>
      <w:r>
        <w:t xml:space="preserve">Above the melting point gold is in the </w:t>
      </w:r>
      <w:r w:rsidRPr="008D1FC1">
        <w:rPr>
          <w:b/>
          <w:bCs/>
        </w:rPr>
        <w:t>liquid</w:t>
      </w:r>
      <w:r>
        <w:t xml:space="preserve"> state.</w:t>
      </w:r>
    </w:p>
    <w:p w14:paraId="74BBC8E9" w14:textId="60CCA8B1" w:rsidR="005C77A6" w:rsidRDefault="00A47B07" w:rsidP="00A47B07">
      <w:pPr>
        <w:pStyle w:val="RSCletteredlist"/>
      </w:pPr>
      <w:r>
        <w:t xml:space="preserve">Below the melting point gold is in the </w:t>
      </w:r>
      <w:r w:rsidRPr="008D1FC1">
        <w:rPr>
          <w:b/>
          <w:bCs/>
        </w:rPr>
        <w:t>solid</w:t>
      </w:r>
      <w:r>
        <w:t xml:space="preserve"> state.</w:t>
      </w:r>
    </w:p>
    <w:p w14:paraId="421ADC20" w14:textId="41802EDB" w:rsidR="00181464" w:rsidRDefault="00DB70B2" w:rsidP="7449C875">
      <w:pPr>
        <w:pStyle w:val="RSCnumberedlist"/>
        <w:numPr>
          <w:ilvl w:val="0"/>
          <w:numId w:val="0"/>
        </w:numPr>
        <w:ind w:left="360" w:hanging="360"/>
      </w:pPr>
      <w:r>
        <w:t>(c)</w:t>
      </w:r>
    </w:p>
    <w:tbl>
      <w:tblPr>
        <w:tblStyle w:val="TableGrid"/>
        <w:tblW w:w="0" w:type="auto"/>
        <w:jc w:val="center"/>
        <w:tblLook w:val="04A0" w:firstRow="1" w:lastRow="0" w:firstColumn="1" w:lastColumn="0" w:noHBand="0" w:noVBand="1"/>
      </w:tblPr>
      <w:tblGrid>
        <w:gridCol w:w="1605"/>
        <w:gridCol w:w="2218"/>
        <w:gridCol w:w="2170"/>
      </w:tblGrid>
      <w:tr w:rsidR="005C77A6" w:rsidRPr="00985C41" w14:paraId="17B064BA" w14:textId="77777777" w:rsidTr="004D4A88">
        <w:trPr>
          <w:trHeight w:val="300"/>
          <w:jc w:val="center"/>
        </w:trPr>
        <w:tc>
          <w:tcPr>
            <w:tcW w:w="1605" w:type="dxa"/>
            <w:shd w:val="clear" w:color="auto" w:fill="E0E88E"/>
            <w:vAlign w:val="center"/>
          </w:tcPr>
          <w:p w14:paraId="48D1E5C2" w14:textId="77777777" w:rsidR="005C77A6" w:rsidRPr="00E73726" w:rsidRDefault="005C77A6" w:rsidP="004D4A88">
            <w:pPr>
              <w:spacing w:before="60" w:after="0" w:line="259" w:lineRule="auto"/>
              <w:ind w:left="-108" w:right="34" w:firstLine="0"/>
              <w:jc w:val="center"/>
              <w:rPr>
                <w:rFonts w:ascii="Century Gothic" w:hAnsi="Century Gothic"/>
                <w:b/>
                <w:bCs/>
                <w:color w:val="006F62"/>
              </w:rPr>
            </w:pPr>
            <w:r w:rsidRPr="7449C875">
              <w:rPr>
                <w:rFonts w:ascii="Century Gothic" w:hAnsi="Century Gothic"/>
                <w:b/>
                <w:bCs/>
                <w:color w:val="006F62"/>
              </w:rPr>
              <w:t>Metal</w:t>
            </w:r>
          </w:p>
        </w:tc>
        <w:tc>
          <w:tcPr>
            <w:tcW w:w="2218" w:type="dxa"/>
            <w:shd w:val="clear" w:color="auto" w:fill="E0E88E"/>
            <w:vAlign w:val="center"/>
          </w:tcPr>
          <w:p w14:paraId="2E5F3370" w14:textId="6F30E4AA" w:rsidR="005C77A6" w:rsidRPr="00E73726" w:rsidRDefault="005C77A6" w:rsidP="004D4A88">
            <w:pPr>
              <w:spacing w:before="60" w:after="0" w:line="259" w:lineRule="auto"/>
              <w:ind w:left="0" w:right="33" w:firstLine="0"/>
              <w:jc w:val="center"/>
              <w:rPr>
                <w:rFonts w:ascii="Century Gothic" w:hAnsi="Century Gothic"/>
                <w:b/>
                <w:bCs/>
                <w:color w:val="006F62"/>
              </w:rPr>
            </w:pPr>
            <w:r w:rsidRPr="7449C875">
              <w:rPr>
                <w:rFonts w:ascii="Century Gothic" w:hAnsi="Century Gothic"/>
                <w:b/>
                <w:bCs/>
                <w:color w:val="006F62"/>
              </w:rPr>
              <w:t>Melting point</w:t>
            </w:r>
            <w:r w:rsidR="008D3AAB" w:rsidRPr="7449C875">
              <w:rPr>
                <w:rFonts w:ascii="Century Gothic" w:hAnsi="Century Gothic"/>
                <w:b/>
                <w:bCs/>
                <w:color w:val="006F62"/>
              </w:rPr>
              <w:t xml:space="preserve"> </w:t>
            </w:r>
            <w:r w:rsidRPr="7449C875">
              <w:rPr>
                <w:rFonts w:ascii="Century Gothic" w:hAnsi="Century Gothic"/>
                <w:b/>
                <w:bCs/>
                <w:color w:val="006F62"/>
              </w:rPr>
              <w:t>(</w:t>
            </w:r>
            <w:r w:rsidR="008D3AAB" w:rsidRPr="7449C875">
              <w:rPr>
                <w:b/>
                <w:bCs/>
                <w:color w:val="006F62"/>
              </w:rPr>
              <w:t>°</w:t>
            </w:r>
            <w:r w:rsidRPr="7449C875">
              <w:rPr>
                <w:rFonts w:ascii="Century Gothic" w:hAnsi="Century Gothic"/>
                <w:b/>
                <w:bCs/>
                <w:color w:val="006F62"/>
              </w:rPr>
              <w:t>C)</w:t>
            </w:r>
          </w:p>
        </w:tc>
        <w:tc>
          <w:tcPr>
            <w:tcW w:w="2170" w:type="dxa"/>
            <w:shd w:val="clear" w:color="auto" w:fill="E0E88E"/>
            <w:vAlign w:val="center"/>
          </w:tcPr>
          <w:p w14:paraId="15451E84" w14:textId="4FA8AEFC" w:rsidR="005C77A6" w:rsidRPr="00E73726" w:rsidRDefault="005C77A6" w:rsidP="004D4A88">
            <w:pPr>
              <w:spacing w:before="60" w:after="0" w:line="259" w:lineRule="auto"/>
              <w:ind w:right="-1"/>
              <w:jc w:val="center"/>
              <w:rPr>
                <w:rFonts w:ascii="Century Gothic" w:hAnsi="Century Gothic"/>
                <w:b/>
                <w:bCs/>
                <w:color w:val="006F62"/>
              </w:rPr>
            </w:pPr>
            <w:r w:rsidRPr="7449C875">
              <w:rPr>
                <w:rFonts w:ascii="Century Gothic" w:hAnsi="Century Gothic"/>
                <w:b/>
                <w:bCs/>
                <w:color w:val="006F62"/>
              </w:rPr>
              <w:t>State at 1000</w:t>
            </w:r>
            <w:r w:rsidR="008D3AAB" w:rsidRPr="7449C875">
              <w:rPr>
                <w:b/>
                <w:bCs/>
                <w:color w:val="006F62"/>
              </w:rPr>
              <w:t>°</w:t>
            </w:r>
            <w:r w:rsidRPr="7449C875">
              <w:rPr>
                <w:rFonts w:ascii="Century Gothic" w:hAnsi="Century Gothic"/>
                <w:b/>
                <w:bCs/>
                <w:color w:val="006F62"/>
              </w:rPr>
              <w:t>C</w:t>
            </w:r>
          </w:p>
        </w:tc>
      </w:tr>
      <w:tr w:rsidR="005C77A6" w:rsidRPr="00985C41" w14:paraId="46EC1FBD" w14:textId="77777777" w:rsidTr="004D4A88">
        <w:trPr>
          <w:trHeight w:val="300"/>
          <w:jc w:val="center"/>
        </w:trPr>
        <w:tc>
          <w:tcPr>
            <w:tcW w:w="1605" w:type="dxa"/>
            <w:vAlign w:val="center"/>
          </w:tcPr>
          <w:p w14:paraId="651504F1" w14:textId="77777777" w:rsidR="005C77A6" w:rsidRPr="00985C41" w:rsidRDefault="005C77A6" w:rsidP="004D4A88">
            <w:pPr>
              <w:spacing w:after="0" w:line="259" w:lineRule="auto"/>
              <w:ind w:left="0" w:right="34" w:firstLine="0"/>
              <w:jc w:val="center"/>
              <w:rPr>
                <w:rFonts w:ascii="Century Gothic" w:hAnsi="Century Gothic"/>
              </w:rPr>
            </w:pPr>
            <w:r w:rsidRPr="7449C875">
              <w:rPr>
                <w:rFonts w:ascii="Century Gothic" w:hAnsi="Century Gothic"/>
              </w:rPr>
              <w:t>copper</w:t>
            </w:r>
          </w:p>
        </w:tc>
        <w:tc>
          <w:tcPr>
            <w:tcW w:w="2218" w:type="dxa"/>
            <w:vAlign w:val="center"/>
          </w:tcPr>
          <w:p w14:paraId="726B756D" w14:textId="77777777" w:rsidR="005C77A6" w:rsidRPr="00985C41" w:rsidRDefault="005C77A6" w:rsidP="004D4A88">
            <w:pPr>
              <w:tabs>
                <w:tab w:val="left" w:pos="1593"/>
              </w:tabs>
              <w:spacing w:after="0" w:line="259" w:lineRule="auto"/>
              <w:ind w:left="0" w:right="33" w:firstLine="0"/>
              <w:jc w:val="center"/>
              <w:rPr>
                <w:rFonts w:ascii="Century Gothic" w:hAnsi="Century Gothic"/>
              </w:rPr>
            </w:pPr>
            <w:r w:rsidRPr="7449C875">
              <w:rPr>
                <w:rFonts w:ascii="Century Gothic" w:hAnsi="Century Gothic"/>
              </w:rPr>
              <w:t>1084</w:t>
            </w:r>
          </w:p>
        </w:tc>
        <w:tc>
          <w:tcPr>
            <w:tcW w:w="2170" w:type="dxa"/>
            <w:vAlign w:val="center"/>
          </w:tcPr>
          <w:p w14:paraId="1F84DBAC" w14:textId="43DFF02E" w:rsidR="005C77A6" w:rsidRPr="008D1FC1" w:rsidRDefault="00E86FD2" w:rsidP="004D4A88">
            <w:pPr>
              <w:tabs>
                <w:tab w:val="left" w:pos="6128"/>
              </w:tabs>
              <w:spacing w:after="0" w:line="259" w:lineRule="auto"/>
              <w:ind w:left="0" w:right="-1" w:firstLine="0"/>
              <w:jc w:val="center"/>
              <w:rPr>
                <w:rFonts w:ascii="Century Gothic" w:hAnsi="Century Gothic"/>
                <w:b/>
                <w:bCs/>
              </w:rPr>
            </w:pPr>
            <w:r w:rsidRPr="7449C875">
              <w:rPr>
                <w:rFonts w:ascii="Century Gothic" w:hAnsi="Century Gothic"/>
                <w:b/>
                <w:bCs/>
              </w:rPr>
              <w:t>S</w:t>
            </w:r>
            <w:r w:rsidR="005C77A6" w:rsidRPr="7449C875">
              <w:rPr>
                <w:rFonts w:ascii="Century Gothic" w:hAnsi="Century Gothic"/>
                <w:b/>
                <w:bCs/>
              </w:rPr>
              <w:t>olid</w:t>
            </w:r>
          </w:p>
        </w:tc>
      </w:tr>
      <w:tr w:rsidR="005C77A6" w:rsidRPr="00985C41" w14:paraId="07653995" w14:textId="77777777" w:rsidTr="004D4A88">
        <w:trPr>
          <w:trHeight w:val="300"/>
          <w:jc w:val="center"/>
        </w:trPr>
        <w:tc>
          <w:tcPr>
            <w:tcW w:w="1605" w:type="dxa"/>
            <w:vAlign w:val="center"/>
          </w:tcPr>
          <w:p w14:paraId="6B8A6FB9" w14:textId="77777777" w:rsidR="005C77A6" w:rsidRPr="00985C41" w:rsidRDefault="005C77A6" w:rsidP="004D4A88">
            <w:pPr>
              <w:spacing w:after="0" w:line="259" w:lineRule="auto"/>
              <w:ind w:left="0" w:right="34" w:firstLine="0"/>
              <w:jc w:val="center"/>
              <w:rPr>
                <w:rFonts w:ascii="Century Gothic" w:hAnsi="Century Gothic"/>
              </w:rPr>
            </w:pPr>
            <w:r w:rsidRPr="7449C875">
              <w:rPr>
                <w:rFonts w:ascii="Century Gothic" w:hAnsi="Century Gothic"/>
              </w:rPr>
              <w:t>aluminium</w:t>
            </w:r>
          </w:p>
        </w:tc>
        <w:tc>
          <w:tcPr>
            <w:tcW w:w="2218" w:type="dxa"/>
            <w:vAlign w:val="center"/>
          </w:tcPr>
          <w:p w14:paraId="38ECF2C9" w14:textId="77777777" w:rsidR="005C77A6" w:rsidRPr="00985C41" w:rsidRDefault="005C77A6" w:rsidP="004D4A88">
            <w:pPr>
              <w:tabs>
                <w:tab w:val="left" w:pos="1593"/>
              </w:tabs>
              <w:spacing w:after="0" w:line="259" w:lineRule="auto"/>
              <w:ind w:left="0" w:right="33" w:firstLine="0"/>
              <w:jc w:val="center"/>
              <w:rPr>
                <w:rFonts w:ascii="Century Gothic" w:hAnsi="Century Gothic"/>
              </w:rPr>
            </w:pPr>
            <w:r w:rsidRPr="7449C875">
              <w:rPr>
                <w:rFonts w:ascii="Century Gothic" w:hAnsi="Century Gothic"/>
              </w:rPr>
              <w:t>660</w:t>
            </w:r>
          </w:p>
        </w:tc>
        <w:tc>
          <w:tcPr>
            <w:tcW w:w="2170" w:type="dxa"/>
            <w:vAlign w:val="center"/>
          </w:tcPr>
          <w:p w14:paraId="752AD61E" w14:textId="0C85BFEB" w:rsidR="005C77A6" w:rsidRPr="008D1FC1" w:rsidRDefault="00E86FD2" w:rsidP="004D4A88">
            <w:pPr>
              <w:tabs>
                <w:tab w:val="left" w:pos="6128"/>
              </w:tabs>
              <w:spacing w:after="0" w:line="259" w:lineRule="auto"/>
              <w:ind w:left="0" w:right="-1" w:firstLine="0"/>
              <w:jc w:val="center"/>
              <w:rPr>
                <w:rFonts w:ascii="Century Gothic" w:hAnsi="Century Gothic"/>
                <w:b/>
                <w:bCs/>
              </w:rPr>
            </w:pPr>
            <w:r w:rsidRPr="7449C875">
              <w:rPr>
                <w:rFonts w:ascii="Century Gothic" w:hAnsi="Century Gothic"/>
                <w:b/>
                <w:bCs/>
              </w:rPr>
              <w:t>L</w:t>
            </w:r>
            <w:r w:rsidR="005C77A6" w:rsidRPr="7449C875">
              <w:rPr>
                <w:rFonts w:ascii="Century Gothic" w:hAnsi="Century Gothic"/>
                <w:b/>
                <w:bCs/>
              </w:rPr>
              <w:t>iquid</w:t>
            </w:r>
          </w:p>
        </w:tc>
      </w:tr>
      <w:tr w:rsidR="005C77A6" w:rsidRPr="00985C41" w14:paraId="4E491C95" w14:textId="77777777" w:rsidTr="004D4A88">
        <w:trPr>
          <w:trHeight w:val="300"/>
          <w:jc w:val="center"/>
        </w:trPr>
        <w:tc>
          <w:tcPr>
            <w:tcW w:w="1605" w:type="dxa"/>
            <w:vAlign w:val="center"/>
          </w:tcPr>
          <w:p w14:paraId="515EC632" w14:textId="48C3847B" w:rsidR="005C77A6" w:rsidRPr="00985C41" w:rsidRDefault="005C77A6" w:rsidP="004D4A88">
            <w:pPr>
              <w:pStyle w:val="RSCnumberedlist"/>
              <w:numPr>
                <w:ilvl w:val="0"/>
                <w:numId w:val="0"/>
              </w:numPr>
              <w:spacing w:after="0" w:line="259" w:lineRule="auto"/>
              <w:ind w:left="360" w:hanging="360"/>
              <w:jc w:val="center"/>
            </w:pPr>
            <w:r w:rsidRPr="6C8FD61A">
              <w:t>silver</w:t>
            </w:r>
          </w:p>
        </w:tc>
        <w:tc>
          <w:tcPr>
            <w:tcW w:w="2218" w:type="dxa"/>
            <w:vAlign w:val="center"/>
          </w:tcPr>
          <w:p w14:paraId="3BE6476D" w14:textId="77777777" w:rsidR="005C77A6" w:rsidRPr="00985C41" w:rsidRDefault="005C77A6" w:rsidP="004D4A88">
            <w:pPr>
              <w:tabs>
                <w:tab w:val="left" w:pos="1593"/>
              </w:tabs>
              <w:spacing w:after="0" w:line="259" w:lineRule="auto"/>
              <w:ind w:left="0" w:right="33" w:firstLine="0"/>
              <w:jc w:val="center"/>
              <w:rPr>
                <w:rFonts w:ascii="Century Gothic" w:hAnsi="Century Gothic"/>
              </w:rPr>
            </w:pPr>
            <w:r w:rsidRPr="7449C875">
              <w:rPr>
                <w:rFonts w:ascii="Century Gothic" w:hAnsi="Century Gothic"/>
              </w:rPr>
              <w:t>961</w:t>
            </w:r>
          </w:p>
        </w:tc>
        <w:tc>
          <w:tcPr>
            <w:tcW w:w="2170" w:type="dxa"/>
            <w:vAlign w:val="center"/>
          </w:tcPr>
          <w:p w14:paraId="0C4F0395" w14:textId="52CEFC3B" w:rsidR="005C77A6" w:rsidRPr="008D1FC1" w:rsidRDefault="00E86FD2" w:rsidP="004D4A88">
            <w:pPr>
              <w:tabs>
                <w:tab w:val="left" w:pos="6128"/>
              </w:tabs>
              <w:spacing w:after="0" w:line="259" w:lineRule="auto"/>
              <w:ind w:left="0" w:right="-1" w:firstLine="0"/>
              <w:jc w:val="center"/>
              <w:rPr>
                <w:rFonts w:ascii="Century Gothic" w:hAnsi="Century Gothic"/>
                <w:b/>
                <w:bCs/>
              </w:rPr>
            </w:pPr>
            <w:r w:rsidRPr="7449C875">
              <w:rPr>
                <w:rFonts w:ascii="Century Gothic" w:hAnsi="Century Gothic"/>
                <w:b/>
                <w:bCs/>
              </w:rPr>
              <w:t>L</w:t>
            </w:r>
            <w:r w:rsidR="005C77A6" w:rsidRPr="7449C875">
              <w:rPr>
                <w:rFonts w:ascii="Century Gothic" w:hAnsi="Century Gothic"/>
                <w:b/>
                <w:bCs/>
              </w:rPr>
              <w:t>iquid</w:t>
            </w:r>
          </w:p>
        </w:tc>
      </w:tr>
      <w:tr w:rsidR="005C77A6" w:rsidRPr="00985C41" w14:paraId="6B3FF147" w14:textId="77777777" w:rsidTr="004D4A88">
        <w:trPr>
          <w:trHeight w:val="300"/>
          <w:jc w:val="center"/>
        </w:trPr>
        <w:tc>
          <w:tcPr>
            <w:tcW w:w="1605" w:type="dxa"/>
            <w:vAlign w:val="center"/>
          </w:tcPr>
          <w:p w14:paraId="65DA5578" w14:textId="77777777" w:rsidR="005C77A6" w:rsidRPr="00985C41" w:rsidRDefault="005C77A6" w:rsidP="004D4A88">
            <w:pPr>
              <w:spacing w:after="0" w:line="259" w:lineRule="auto"/>
              <w:ind w:left="0" w:right="34" w:firstLine="0"/>
              <w:jc w:val="center"/>
              <w:rPr>
                <w:rFonts w:ascii="Century Gothic" w:hAnsi="Century Gothic"/>
              </w:rPr>
            </w:pPr>
            <w:r w:rsidRPr="7449C875">
              <w:rPr>
                <w:rFonts w:ascii="Century Gothic" w:hAnsi="Century Gothic"/>
              </w:rPr>
              <w:t>titanium</w:t>
            </w:r>
          </w:p>
        </w:tc>
        <w:tc>
          <w:tcPr>
            <w:tcW w:w="2218" w:type="dxa"/>
            <w:vAlign w:val="center"/>
          </w:tcPr>
          <w:p w14:paraId="040DD887" w14:textId="77777777" w:rsidR="005C77A6" w:rsidRPr="00985C41" w:rsidRDefault="005C77A6" w:rsidP="004D4A88">
            <w:pPr>
              <w:tabs>
                <w:tab w:val="left" w:pos="1593"/>
              </w:tabs>
              <w:spacing w:after="0" w:line="259" w:lineRule="auto"/>
              <w:ind w:left="0" w:right="33" w:firstLine="0"/>
              <w:jc w:val="center"/>
              <w:rPr>
                <w:rFonts w:ascii="Century Gothic" w:hAnsi="Century Gothic"/>
              </w:rPr>
            </w:pPr>
            <w:r w:rsidRPr="7449C875">
              <w:rPr>
                <w:rFonts w:ascii="Century Gothic" w:hAnsi="Century Gothic"/>
              </w:rPr>
              <w:t>1670</w:t>
            </w:r>
          </w:p>
        </w:tc>
        <w:tc>
          <w:tcPr>
            <w:tcW w:w="2170" w:type="dxa"/>
            <w:vAlign w:val="center"/>
          </w:tcPr>
          <w:p w14:paraId="22387728" w14:textId="0052A2DE" w:rsidR="005C77A6" w:rsidRPr="008D1FC1" w:rsidRDefault="00E86FD2" w:rsidP="004D4A88">
            <w:pPr>
              <w:tabs>
                <w:tab w:val="left" w:pos="6128"/>
              </w:tabs>
              <w:spacing w:after="0" w:line="259" w:lineRule="auto"/>
              <w:ind w:left="0" w:right="-1" w:firstLine="0"/>
              <w:jc w:val="center"/>
              <w:rPr>
                <w:rFonts w:ascii="Century Gothic" w:hAnsi="Century Gothic"/>
                <w:b/>
                <w:bCs/>
              </w:rPr>
            </w:pPr>
            <w:r w:rsidRPr="7449C875">
              <w:rPr>
                <w:rFonts w:ascii="Century Gothic" w:hAnsi="Century Gothic"/>
                <w:b/>
                <w:bCs/>
              </w:rPr>
              <w:t>S</w:t>
            </w:r>
            <w:r w:rsidR="005C77A6" w:rsidRPr="7449C875">
              <w:rPr>
                <w:rFonts w:ascii="Century Gothic" w:hAnsi="Century Gothic"/>
                <w:b/>
                <w:bCs/>
              </w:rPr>
              <w:t>olid</w:t>
            </w:r>
          </w:p>
        </w:tc>
      </w:tr>
    </w:tbl>
    <w:p w14:paraId="623C92A0" w14:textId="74B04526" w:rsidR="005C77A6" w:rsidRPr="002C6318" w:rsidRDefault="00012D2A" w:rsidP="7449C875">
      <w:pPr>
        <w:pStyle w:val="RSCnumberedlist"/>
        <w:rPr>
          <w:rFonts w:eastAsia="Century Gothic" w:cs="Century Gothic"/>
        </w:rPr>
      </w:pPr>
      <w:r>
        <w:rPr>
          <w:noProof/>
          <w:lang w:eastAsia="en-GB"/>
        </w:rPr>
        <w:drawing>
          <wp:anchor distT="0" distB="0" distL="114300" distR="114300" simplePos="0" relativeHeight="251674624" behindDoc="0" locked="0" layoutInCell="1" allowOverlap="1" wp14:anchorId="2547B689" wp14:editId="2959B79F">
            <wp:simplePos x="0" y="0"/>
            <wp:positionH relativeFrom="leftMargin">
              <wp:align>right</wp:align>
            </wp:positionH>
            <wp:positionV relativeFrom="page">
              <wp:posOffset>4563110</wp:posOffset>
            </wp:positionV>
            <wp:extent cx="360000" cy="360000"/>
            <wp:effectExtent l="0" t="0" r="2540" b="2540"/>
            <wp:wrapNone/>
            <wp:docPr id="293845197" name="Picture 1" descr="An icon indicating that Question 3 uses Ma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45197" name="Picture 1" descr="An icon indicating that Question 3 uses Macroscop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444FFB16" w:rsidRPr="6C8FD61A">
        <w:rPr>
          <w:rFonts w:eastAsia="Century Gothic" w:cs="Century Gothic"/>
          <w:i/>
          <w:iCs/>
          <w:color w:val="006F62"/>
        </w:rPr>
        <w:t xml:space="preserve">Guidance </w:t>
      </w:r>
      <w:proofErr w:type="gramStart"/>
      <w:r w:rsidR="444FFB16" w:rsidRPr="6C8FD61A">
        <w:rPr>
          <w:rFonts w:eastAsia="Century Gothic" w:cs="Century Gothic"/>
          <w:i/>
          <w:iCs/>
          <w:color w:val="006F62"/>
        </w:rPr>
        <w:t>note</w:t>
      </w:r>
      <w:proofErr w:type="gramEnd"/>
      <w:r w:rsidR="444FFB16" w:rsidRPr="6C8FD61A">
        <w:rPr>
          <w:rFonts w:eastAsia="Century Gothic" w:cs="Century Gothic"/>
          <w:i/>
          <w:iCs/>
          <w:color w:val="006F62"/>
        </w:rPr>
        <w:t xml:space="preserve">: </w:t>
      </w:r>
      <w:r w:rsidR="002C6318" w:rsidRPr="002C6318">
        <w:rPr>
          <w:rFonts w:eastAsia="Century Gothic" w:cs="Century Gothic"/>
        </w:rPr>
        <w:t>This questio</w:t>
      </w:r>
      <w:r w:rsidR="002C6318">
        <w:rPr>
          <w:rFonts w:eastAsia="Century Gothic" w:cs="Century Gothic"/>
        </w:rPr>
        <w:t>n develops learners’ understanding of</w:t>
      </w:r>
      <w:r w:rsidR="000973F4">
        <w:rPr>
          <w:rFonts w:eastAsia="Century Gothic" w:cs="Century Gothic"/>
        </w:rPr>
        <w:t xml:space="preserve"> how to determine the state of water at a given temperature based on known melting and boiling points (macroscopic understanding). </w:t>
      </w:r>
    </w:p>
    <w:p w14:paraId="57A50403" w14:textId="457270A2" w:rsidR="00BB4BBE" w:rsidRDefault="00BB4BBE" w:rsidP="00012D2A">
      <w:pPr>
        <w:pStyle w:val="RSCletteredlist"/>
        <w:numPr>
          <w:ilvl w:val="0"/>
          <w:numId w:val="19"/>
        </w:numPr>
      </w:pPr>
      <w:r>
        <w:t>gas</w:t>
      </w:r>
    </w:p>
    <w:p w14:paraId="5E4AE9C5" w14:textId="09D2A1DD" w:rsidR="00BB4BBE" w:rsidRDefault="00BB4BBE" w:rsidP="7449C875">
      <w:pPr>
        <w:pStyle w:val="RSCletteredlist"/>
      </w:pPr>
      <w:r>
        <w:t>liquid</w:t>
      </w:r>
    </w:p>
    <w:p w14:paraId="63763F6A" w14:textId="000CEB86" w:rsidR="00941C9B" w:rsidRDefault="00941C9B" w:rsidP="7449C875">
      <w:pPr>
        <w:pStyle w:val="RSCletteredlist"/>
      </w:pPr>
      <w:r>
        <w:t>solid</w:t>
      </w:r>
    </w:p>
    <w:p w14:paraId="06BAA617" w14:textId="2A63BB1B" w:rsidR="00941C9B" w:rsidRDefault="00803E38" w:rsidP="00012D2A">
      <w:pPr>
        <w:pStyle w:val="RSCnumberedlist"/>
        <w:spacing w:before="240"/>
      </w:pPr>
      <w:r>
        <w:rPr>
          <w:noProof/>
          <w:lang w:eastAsia="en-GB"/>
        </w:rPr>
        <w:drawing>
          <wp:anchor distT="0" distB="0" distL="114300" distR="114300" simplePos="0" relativeHeight="251676672" behindDoc="0" locked="0" layoutInCell="1" allowOverlap="1" wp14:anchorId="4BAEF6A0" wp14:editId="45F1A458">
            <wp:simplePos x="0" y="0"/>
            <wp:positionH relativeFrom="leftMargin">
              <wp:align>right</wp:align>
            </wp:positionH>
            <wp:positionV relativeFrom="paragraph">
              <wp:posOffset>167005</wp:posOffset>
            </wp:positionV>
            <wp:extent cx="360000" cy="360000"/>
            <wp:effectExtent l="0" t="0" r="2540" b="2540"/>
            <wp:wrapNone/>
            <wp:docPr id="983186322" name="Picture 1" descr="An icon indicating that Question 4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322" name="Picture 1" descr="An icon indicating that Question 4 uses Macroscopic and Sub-microscop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19C160FA" w:rsidRPr="7449C875">
        <w:rPr>
          <w:rFonts w:eastAsia="Century Gothic" w:cs="Century Gothic"/>
          <w:i/>
          <w:iCs/>
          <w:color w:val="006F62"/>
        </w:rPr>
        <w:t xml:space="preserve">Guidance </w:t>
      </w:r>
      <w:proofErr w:type="gramStart"/>
      <w:r w:rsidR="19C160FA" w:rsidRPr="7449C875">
        <w:rPr>
          <w:rFonts w:eastAsia="Century Gothic" w:cs="Century Gothic"/>
          <w:i/>
          <w:iCs/>
          <w:color w:val="006F62"/>
        </w:rPr>
        <w:t>note</w:t>
      </w:r>
      <w:proofErr w:type="gramEnd"/>
      <w:r w:rsidR="19C160FA" w:rsidRPr="7449C875">
        <w:rPr>
          <w:rFonts w:eastAsia="Century Gothic" w:cs="Century Gothic"/>
          <w:i/>
          <w:iCs/>
          <w:color w:val="006F62"/>
        </w:rPr>
        <w:t xml:space="preserve">: </w:t>
      </w:r>
      <w:r w:rsidR="003C2C40">
        <w:rPr>
          <w:rFonts w:eastAsia="Century Gothic" w:cs="Century Gothic"/>
        </w:rPr>
        <w:t>This question</w:t>
      </w:r>
      <w:r w:rsidR="00EE7289">
        <w:rPr>
          <w:rFonts w:eastAsia="Century Gothic" w:cs="Century Gothic"/>
        </w:rPr>
        <w:t xml:space="preserve"> develops learners’ understanding of </w:t>
      </w:r>
      <w:r w:rsidR="00B95983">
        <w:rPr>
          <w:rFonts w:eastAsia="Century Gothic" w:cs="Century Gothic"/>
        </w:rPr>
        <w:t xml:space="preserve">the particle model for the </w:t>
      </w:r>
      <w:r w:rsidR="00CA1175">
        <w:rPr>
          <w:rFonts w:eastAsia="Century Gothic" w:cs="Century Gothic"/>
        </w:rPr>
        <w:t xml:space="preserve">solid </w:t>
      </w:r>
      <w:r w:rsidR="00B95983">
        <w:rPr>
          <w:rFonts w:eastAsia="Century Gothic" w:cs="Century Gothic"/>
        </w:rPr>
        <w:t xml:space="preserve">and </w:t>
      </w:r>
      <w:r w:rsidR="00CA1175">
        <w:rPr>
          <w:rFonts w:eastAsia="Century Gothic" w:cs="Century Gothic"/>
        </w:rPr>
        <w:t>liquid</w:t>
      </w:r>
      <w:r w:rsidR="00B95983">
        <w:rPr>
          <w:rFonts w:eastAsia="Century Gothic" w:cs="Century Gothic"/>
        </w:rPr>
        <w:t xml:space="preserve"> states (sub-microscopic understanding).</w:t>
      </w:r>
      <w:r w:rsidR="005B2D47">
        <w:rPr>
          <w:rFonts w:eastAsia="Century Gothic" w:cs="Century Gothic"/>
        </w:rPr>
        <w:t xml:space="preserve"> It then supports learners to consider the limitations of the </w:t>
      </w:r>
      <w:r w:rsidR="00B47081">
        <w:rPr>
          <w:rFonts w:eastAsia="Century Gothic" w:cs="Century Gothic"/>
        </w:rPr>
        <w:t xml:space="preserve">basic particle </w:t>
      </w:r>
      <w:r w:rsidR="005B2D47">
        <w:rPr>
          <w:rFonts w:eastAsia="Century Gothic" w:cs="Century Gothic"/>
        </w:rPr>
        <w:t>m</w:t>
      </w:r>
      <w:r w:rsidR="00A16621">
        <w:rPr>
          <w:rFonts w:eastAsia="Century Gothic" w:cs="Century Gothic"/>
        </w:rPr>
        <w:t xml:space="preserve">odel which cannot explain the difference in melting point </w:t>
      </w:r>
      <w:r w:rsidR="00B47081">
        <w:rPr>
          <w:rFonts w:eastAsia="Century Gothic" w:cs="Century Gothic"/>
        </w:rPr>
        <w:t xml:space="preserve">(macroscopic understanding) </w:t>
      </w:r>
      <w:r w:rsidR="00A16621">
        <w:rPr>
          <w:rFonts w:eastAsia="Century Gothic" w:cs="Century Gothic"/>
        </w:rPr>
        <w:t>between two metals</w:t>
      </w:r>
      <w:r w:rsidR="00746951">
        <w:rPr>
          <w:rFonts w:eastAsia="Century Gothic" w:cs="Century Gothic"/>
        </w:rPr>
        <w:t xml:space="preserve">. </w:t>
      </w:r>
      <w:r w:rsidR="00D70C41">
        <w:rPr>
          <w:rFonts w:eastAsia="Century Gothic" w:cs="Century Gothic"/>
        </w:rPr>
        <w:t xml:space="preserve">To explain differences in melting point the model needs improving </w:t>
      </w:r>
      <w:r w:rsidR="003B1B4C">
        <w:rPr>
          <w:rFonts w:eastAsia="Century Gothic" w:cs="Century Gothic"/>
        </w:rPr>
        <w:t xml:space="preserve">to show there are </w:t>
      </w:r>
      <w:r w:rsidR="00746951">
        <w:rPr>
          <w:rFonts w:eastAsia="Century Gothic" w:cs="Century Gothic"/>
        </w:rPr>
        <w:t xml:space="preserve">invisible forces of attraction </w:t>
      </w:r>
      <w:r w:rsidR="00653DC9">
        <w:rPr>
          <w:rFonts w:eastAsia="Century Gothic" w:cs="Century Gothic"/>
        </w:rPr>
        <w:t>between particles</w:t>
      </w:r>
      <w:r w:rsidR="006A6150">
        <w:rPr>
          <w:rFonts w:eastAsia="Century Gothic" w:cs="Century Gothic"/>
        </w:rPr>
        <w:t xml:space="preserve"> that can be different for different substances</w:t>
      </w:r>
      <w:r w:rsidR="001A5C6C">
        <w:rPr>
          <w:rFonts w:eastAsia="Century Gothic" w:cs="Century Gothic"/>
        </w:rPr>
        <w:t xml:space="preserve">. </w:t>
      </w:r>
    </w:p>
    <w:p w14:paraId="58826E69" w14:textId="38D25F0E" w:rsidR="00922BF4" w:rsidRDefault="00B31327" w:rsidP="00E67A7B">
      <w:pPr>
        <w:pStyle w:val="RSCletteredlist"/>
        <w:numPr>
          <w:ilvl w:val="0"/>
          <w:numId w:val="18"/>
        </w:numPr>
      </w:pPr>
      <w:r>
        <w:t>The particles are the same shape</w:t>
      </w:r>
      <w:r w:rsidR="00D924A4">
        <w:t>/size</w:t>
      </w:r>
      <w:r>
        <w:t xml:space="preserve"> and arranged close together in both states.</w:t>
      </w:r>
      <w:r w:rsidR="00922BF4">
        <w:t xml:space="preserve"> </w:t>
      </w:r>
    </w:p>
    <w:p w14:paraId="5E22293B" w14:textId="075EC0F8" w:rsidR="00246D48" w:rsidRDefault="00B31327" w:rsidP="7449C875">
      <w:pPr>
        <w:pStyle w:val="RSCletteredlist"/>
      </w:pPr>
      <w:r>
        <w:t xml:space="preserve">The particles are in a regular arrangement </w:t>
      </w:r>
      <w:r w:rsidR="009832A3">
        <w:t>vibrating around</w:t>
      </w:r>
      <w:r>
        <w:t xml:space="preserve"> fixed</w:t>
      </w:r>
      <w:r w:rsidR="009832A3">
        <w:t xml:space="preserve"> points</w:t>
      </w:r>
      <w:r>
        <w:t xml:space="preserve"> in the solid state. In the liquid state the particles have an irregular arrangement</w:t>
      </w:r>
      <w:r w:rsidR="00556B43">
        <w:t xml:space="preserve"> and can move past each other.</w:t>
      </w:r>
      <w:r w:rsidR="00922BF4">
        <w:t xml:space="preserve"> </w:t>
      </w:r>
    </w:p>
    <w:p w14:paraId="7DD1DF5B" w14:textId="6F52E115" w:rsidR="00922BF4" w:rsidRDefault="007440BD" w:rsidP="7449C875">
      <w:pPr>
        <w:pStyle w:val="RSCletteredlist"/>
      </w:pPr>
      <w:r>
        <w:t>When a substance melts</w:t>
      </w:r>
      <w:r w:rsidR="0035680B">
        <w:t xml:space="preserve"> it involves breaking forces of attraction between particles. The basic particle model does not </w:t>
      </w:r>
      <w:r w:rsidR="000E3381">
        <w:t xml:space="preserve">include forces of attraction and so it cannot explain the difference in </w:t>
      </w:r>
      <w:r w:rsidR="000175D2">
        <w:t>melting</w:t>
      </w:r>
      <w:r w:rsidR="000E3381">
        <w:t xml:space="preserve"> point between copper and silver. </w:t>
      </w:r>
    </w:p>
    <w:p w14:paraId="642476A4" w14:textId="617D25D7" w:rsidR="00996DCE" w:rsidRPr="00996DCE" w:rsidRDefault="00996DCE" w:rsidP="7449C875">
      <w:pPr>
        <w:pStyle w:val="RSCletteredlist"/>
      </w:pPr>
      <w:r>
        <w:t xml:space="preserve">The forces of attraction between copper particles are stronger than between silver particles. </w:t>
      </w:r>
      <w:r w:rsidR="006C2DCB">
        <w:t xml:space="preserve">This means that </w:t>
      </w:r>
      <w:r w:rsidR="00445EA6">
        <w:t>a higher temperature (</w:t>
      </w:r>
      <w:r w:rsidR="006C2DCB">
        <w:t>more energy</w:t>
      </w:r>
      <w:r w:rsidR="00445EA6">
        <w:t>)</w:t>
      </w:r>
      <w:r w:rsidR="006C2DCB">
        <w:t xml:space="preserve"> is </w:t>
      </w:r>
      <w:r w:rsidR="00445EA6">
        <w:t>need</w:t>
      </w:r>
      <w:r w:rsidR="006C2DCB">
        <w:t xml:space="preserve">ed to </w:t>
      </w:r>
      <w:r w:rsidR="00841DF7">
        <w:t xml:space="preserve">melt copper by </w:t>
      </w:r>
      <w:r w:rsidR="006C2DCB">
        <w:t>overcom</w:t>
      </w:r>
      <w:r w:rsidR="00841DF7">
        <w:t>ing</w:t>
      </w:r>
      <w:r w:rsidR="006C2DCB">
        <w:t xml:space="preserve"> the forces of attraction</w:t>
      </w:r>
      <w:r w:rsidR="006324DC">
        <w:t xml:space="preserve"> </w:t>
      </w:r>
      <w:r w:rsidR="00581418">
        <w:t xml:space="preserve">than the </w:t>
      </w:r>
      <w:r w:rsidR="002D3027">
        <w:t>temperature (</w:t>
      </w:r>
      <w:r w:rsidR="00581418">
        <w:t>energy</w:t>
      </w:r>
      <w:r w:rsidR="002D3027">
        <w:t>)</w:t>
      </w:r>
      <w:r w:rsidR="00581418">
        <w:t xml:space="preserve"> needed to melt</w:t>
      </w:r>
      <w:r w:rsidR="000E3A1F">
        <w:t xml:space="preserve"> silver</w:t>
      </w:r>
      <w:r w:rsidR="006324DC">
        <w:t xml:space="preserve">. </w:t>
      </w:r>
    </w:p>
    <w:sectPr w:rsidR="00996DCE" w:rsidRPr="00996DCE" w:rsidSect="00231C1C">
      <w:headerReference w:type="default" r:id="rId40"/>
      <w:footerReference w:type="default" r:id="rId4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080A" w14:textId="77777777" w:rsidR="004E4737" w:rsidRDefault="004E4737" w:rsidP="008A1B0B">
      <w:pPr>
        <w:spacing w:after="0" w:line="240" w:lineRule="auto"/>
      </w:pPr>
      <w:r>
        <w:separator/>
      </w:r>
    </w:p>
  </w:endnote>
  <w:endnote w:type="continuationSeparator" w:id="0">
    <w:p w14:paraId="11995BD0" w14:textId="77777777" w:rsidR="004E4737" w:rsidRDefault="004E473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6248DB5F"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7C57FF">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14:paraId="13A1D64A" w14:textId="36F88B1F" w:rsidR="00231C1C" w:rsidRPr="00B226A7" w:rsidRDefault="7449C875" w:rsidP="00220CCE">
    <w:pPr>
      <w:spacing w:line="283" w:lineRule="auto"/>
      <w:ind w:left="-851" w:right="-709"/>
      <w:jc w:val="left"/>
      <w:rPr>
        <w:rFonts w:ascii="Century Gothic" w:eastAsia="Times New Roman" w:hAnsi="Century Gothic" w:cs="Times New Roman"/>
        <w:sz w:val="16"/>
        <w:szCs w:val="16"/>
        <w:lang w:eastAsia="en-GB"/>
      </w:rPr>
    </w:pPr>
    <w:r w:rsidRPr="7449C875">
      <w:rPr>
        <w:rFonts w:ascii="Century Gothic" w:hAnsi="Century Gothic"/>
        <w:sz w:val="16"/>
        <w:szCs w:val="16"/>
      </w:rPr>
      <w:t>© 2025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3E85" w14:textId="77777777" w:rsidR="004E4737" w:rsidRDefault="004E4737" w:rsidP="008A1B0B">
      <w:pPr>
        <w:spacing w:after="0" w:line="240" w:lineRule="auto"/>
      </w:pPr>
      <w:r>
        <w:separator/>
      </w:r>
    </w:p>
  </w:footnote>
  <w:footnote w:type="continuationSeparator" w:id="0">
    <w:p w14:paraId="28BF8CCD" w14:textId="77777777" w:rsidR="004E4737" w:rsidRDefault="004E473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93538BC"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9264" behindDoc="0" locked="0" layoutInCell="1" allowOverlap="1" wp14:anchorId="23D284BC" wp14:editId="654F2564">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11924A57" wp14:editId="44DCEEC2">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412F9">
      <w:rPr>
        <w:rFonts w:ascii="Century Gothic" w:hAnsi="Century Gothic"/>
        <w:b/>
        <w:bCs/>
        <w:color w:val="006F62"/>
        <w:sz w:val="30"/>
        <w:szCs w:val="30"/>
      </w:rPr>
      <w:t>Developing understanding</w:t>
    </w:r>
    <w:r w:rsidR="007C57FF">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5E627E23"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FD553E" w:rsidRPr="00540D79">
        <w:rPr>
          <w:rStyle w:val="Hyperlink"/>
          <w:color w:val="006F62"/>
          <w:sz w:val="18"/>
          <w:szCs w:val="18"/>
        </w:rPr>
        <w:t>rsc.li/4kIRGkR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7F32411E"/>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5338EAD4"/>
    <w:lvl w:ilvl="0" w:tplc="8B7ED45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604260">
    <w:abstractNumId w:val="11"/>
  </w:num>
  <w:num w:numId="2" w16cid:durableId="775254891">
    <w:abstractNumId w:val="7"/>
  </w:num>
  <w:num w:numId="3" w16cid:durableId="133640804">
    <w:abstractNumId w:val="5"/>
  </w:num>
  <w:num w:numId="4" w16cid:durableId="2074893114">
    <w:abstractNumId w:val="6"/>
  </w:num>
  <w:num w:numId="5" w16cid:durableId="2106532140">
    <w:abstractNumId w:val="9"/>
  </w:num>
  <w:num w:numId="6" w16cid:durableId="949774587">
    <w:abstractNumId w:val="10"/>
  </w:num>
  <w:num w:numId="7" w16cid:durableId="2016420782">
    <w:abstractNumId w:val="1"/>
  </w:num>
  <w:num w:numId="8" w16cid:durableId="1263879983">
    <w:abstractNumId w:val="4"/>
  </w:num>
  <w:num w:numId="9" w16cid:durableId="1187520436">
    <w:abstractNumId w:val="3"/>
  </w:num>
  <w:num w:numId="10" w16cid:durableId="1023439136">
    <w:abstractNumId w:val="2"/>
  </w:num>
  <w:num w:numId="11" w16cid:durableId="248467449">
    <w:abstractNumId w:val="8"/>
  </w:num>
  <w:num w:numId="12" w16cid:durableId="1705444956">
    <w:abstractNumId w:val="2"/>
    <w:lvlOverride w:ilvl="0">
      <w:startOverride w:val="1"/>
    </w:lvlOverride>
  </w:num>
  <w:num w:numId="13" w16cid:durableId="1204755863">
    <w:abstractNumId w:val="3"/>
    <w:lvlOverride w:ilvl="0">
      <w:startOverride w:val="1"/>
    </w:lvlOverride>
  </w:num>
  <w:num w:numId="14" w16cid:durableId="505633049">
    <w:abstractNumId w:val="0"/>
  </w:num>
  <w:num w:numId="15" w16cid:durableId="1761562455">
    <w:abstractNumId w:val="1"/>
  </w:num>
  <w:num w:numId="16" w16cid:durableId="1127897884">
    <w:abstractNumId w:val="3"/>
    <w:lvlOverride w:ilvl="0">
      <w:startOverride w:val="1"/>
    </w:lvlOverride>
  </w:num>
  <w:num w:numId="17" w16cid:durableId="536158671">
    <w:abstractNumId w:val="3"/>
    <w:lvlOverride w:ilvl="0">
      <w:startOverride w:val="1"/>
    </w:lvlOverride>
  </w:num>
  <w:num w:numId="18" w16cid:durableId="308286535">
    <w:abstractNumId w:val="3"/>
    <w:lvlOverride w:ilvl="0">
      <w:startOverride w:val="1"/>
    </w:lvlOverride>
  </w:num>
  <w:num w:numId="19" w16cid:durableId="18215365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51CA"/>
    <w:rsid w:val="00012D2A"/>
    <w:rsid w:val="000175D2"/>
    <w:rsid w:val="00020537"/>
    <w:rsid w:val="00024208"/>
    <w:rsid w:val="0002448C"/>
    <w:rsid w:val="00036B87"/>
    <w:rsid w:val="00037AB6"/>
    <w:rsid w:val="00037C3F"/>
    <w:rsid w:val="0004092A"/>
    <w:rsid w:val="00040B1F"/>
    <w:rsid w:val="000416BD"/>
    <w:rsid w:val="000736CE"/>
    <w:rsid w:val="00075D10"/>
    <w:rsid w:val="00085A07"/>
    <w:rsid w:val="000973F4"/>
    <w:rsid w:val="000A02E8"/>
    <w:rsid w:val="000B0FE6"/>
    <w:rsid w:val="000C6F9E"/>
    <w:rsid w:val="000D0100"/>
    <w:rsid w:val="000D28BF"/>
    <w:rsid w:val="000D6007"/>
    <w:rsid w:val="000E3381"/>
    <w:rsid w:val="000E3A1F"/>
    <w:rsid w:val="000E4D3D"/>
    <w:rsid w:val="000E5EA8"/>
    <w:rsid w:val="000F1648"/>
    <w:rsid w:val="00114920"/>
    <w:rsid w:val="001244D0"/>
    <w:rsid w:val="00131E9D"/>
    <w:rsid w:val="00133318"/>
    <w:rsid w:val="00136040"/>
    <w:rsid w:val="001457C6"/>
    <w:rsid w:val="00165FBB"/>
    <w:rsid w:val="00181464"/>
    <w:rsid w:val="0018159A"/>
    <w:rsid w:val="00182E80"/>
    <w:rsid w:val="00191D12"/>
    <w:rsid w:val="001A405A"/>
    <w:rsid w:val="001A5C6C"/>
    <w:rsid w:val="001B2A5A"/>
    <w:rsid w:val="001F340B"/>
    <w:rsid w:val="00202012"/>
    <w:rsid w:val="00202843"/>
    <w:rsid w:val="00204287"/>
    <w:rsid w:val="0021319E"/>
    <w:rsid w:val="00220CCE"/>
    <w:rsid w:val="00223A48"/>
    <w:rsid w:val="00223BBD"/>
    <w:rsid w:val="00231C1C"/>
    <w:rsid w:val="0023635E"/>
    <w:rsid w:val="00243A87"/>
    <w:rsid w:val="00246D48"/>
    <w:rsid w:val="002559F3"/>
    <w:rsid w:val="00267984"/>
    <w:rsid w:val="0027066D"/>
    <w:rsid w:val="0027099B"/>
    <w:rsid w:val="002B3E2E"/>
    <w:rsid w:val="002C6318"/>
    <w:rsid w:val="002C7F96"/>
    <w:rsid w:val="002D3027"/>
    <w:rsid w:val="002D62C6"/>
    <w:rsid w:val="002E47CA"/>
    <w:rsid w:val="002F19FD"/>
    <w:rsid w:val="002F4A48"/>
    <w:rsid w:val="003059AB"/>
    <w:rsid w:val="00311D98"/>
    <w:rsid w:val="003478AF"/>
    <w:rsid w:val="00351CAD"/>
    <w:rsid w:val="0035680B"/>
    <w:rsid w:val="003716B9"/>
    <w:rsid w:val="003B1B4C"/>
    <w:rsid w:val="003C2C40"/>
    <w:rsid w:val="003C2FED"/>
    <w:rsid w:val="003E06B3"/>
    <w:rsid w:val="00401323"/>
    <w:rsid w:val="004102F1"/>
    <w:rsid w:val="00413352"/>
    <w:rsid w:val="00413EC9"/>
    <w:rsid w:val="004145CC"/>
    <w:rsid w:val="00416537"/>
    <w:rsid w:val="004237DB"/>
    <w:rsid w:val="0043678D"/>
    <w:rsid w:val="00445EA6"/>
    <w:rsid w:val="0046389A"/>
    <w:rsid w:val="00475D2B"/>
    <w:rsid w:val="00477680"/>
    <w:rsid w:val="00483B60"/>
    <w:rsid w:val="00491726"/>
    <w:rsid w:val="0049192E"/>
    <w:rsid w:val="004D4A88"/>
    <w:rsid w:val="004D733D"/>
    <w:rsid w:val="004E4737"/>
    <w:rsid w:val="00504644"/>
    <w:rsid w:val="00516F80"/>
    <w:rsid w:val="0052749E"/>
    <w:rsid w:val="005304DA"/>
    <w:rsid w:val="005376EE"/>
    <w:rsid w:val="00537A7B"/>
    <w:rsid w:val="00540853"/>
    <w:rsid w:val="00555C70"/>
    <w:rsid w:val="00556B43"/>
    <w:rsid w:val="00574AE7"/>
    <w:rsid w:val="00581418"/>
    <w:rsid w:val="005869F5"/>
    <w:rsid w:val="005A0CCE"/>
    <w:rsid w:val="005B2D47"/>
    <w:rsid w:val="005C77A6"/>
    <w:rsid w:val="005D12DF"/>
    <w:rsid w:val="005D32E8"/>
    <w:rsid w:val="005D4D21"/>
    <w:rsid w:val="005E3839"/>
    <w:rsid w:val="005F3C8E"/>
    <w:rsid w:val="005F43A3"/>
    <w:rsid w:val="005F4E1D"/>
    <w:rsid w:val="00603108"/>
    <w:rsid w:val="00630352"/>
    <w:rsid w:val="006324DC"/>
    <w:rsid w:val="0063402C"/>
    <w:rsid w:val="00635F8E"/>
    <w:rsid w:val="00642C54"/>
    <w:rsid w:val="00651262"/>
    <w:rsid w:val="00653DC9"/>
    <w:rsid w:val="00676164"/>
    <w:rsid w:val="006820BE"/>
    <w:rsid w:val="00684283"/>
    <w:rsid w:val="00697A22"/>
    <w:rsid w:val="006A6150"/>
    <w:rsid w:val="006A7947"/>
    <w:rsid w:val="006C2DCB"/>
    <w:rsid w:val="006C5951"/>
    <w:rsid w:val="006D691A"/>
    <w:rsid w:val="006D790E"/>
    <w:rsid w:val="006E1648"/>
    <w:rsid w:val="006E3591"/>
    <w:rsid w:val="006E4FF6"/>
    <w:rsid w:val="006F6EEC"/>
    <w:rsid w:val="007042E5"/>
    <w:rsid w:val="00722220"/>
    <w:rsid w:val="00725FC4"/>
    <w:rsid w:val="00735520"/>
    <w:rsid w:val="007440BD"/>
    <w:rsid w:val="00745C8F"/>
    <w:rsid w:val="00746951"/>
    <w:rsid w:val="007A2BF5"/>
    <w:rsid w:val="007A5DA8"/>
    <w:rsid w:val="007A7480"/>
    <w:rsid w:val="007C4F48"/>
    <w:rsid w:val="007C57FF"/>
    <w:rsid w:val="007E0273"/>
    <w:rsid w:val="0080170D"/>
    <w:rsid w:val="0080309E"/>
    <w:rsid w:val="00803E38"/>
    <w:rsid w:val="00806527"/>
    <w:rsid w:val="00814733"/>
    <w:rsid w:val="00835B9C"/>
    <w:rsid w:val="00841DF7"/>
    <w:rsid w:val="0084304C"/>
    <w:rsid w:val="008469DA"/>
    <w:rsid w:val="0085087B"/>
    <w:rsid w:val="008540CC"/>
    <w:rsid w:val="00865AE5"/>
    <w:rsid w:val="00875152"/>
    <w:rsid w:val="00885C73"/>
    <w:rsid w:val="0089187A"/>
    <w:rsid w:val="008A1B0B"/>
    <w:rsid w:val="008A7ED2"/>
    <w:rsid w:val="008B0C59"/>
    <w:rsid w:val="008B194F"/>
    <w:rsid w:val="008D1C0B"/>
    <w:rsid w:val="008D1FC1"/>
    <w:rsid w:val="008D3AAB"/>
    <w:rsid w:val="008E09DC"/>
    <w:rsid w:val="008F515B"/>
    <w:rsid w:val="00916644"/>
    <w:rsid w:val="00920E04"/>
    <w:rsid w:val="00922BF4"/>
    <w:rsid w:val="00941C9B"/>
    <w:rsid w:val="0094224F"/>
    <w:rsid w:val="00961A03"/>
    <w:rsid w:val="00962FE8"/>
    <w:rsid w:val="00966388"/>
    <w:rsid w:val="00971A30"/>
    <w:rsid w:val="009817D9"/>
    <w:rsid w:val="009832A3"/>
    <w:rsid w:val="009917F1"/>
    <w:rsid w:val="00996DCE"/>
    <w:rsid w:val="009A6D00"/>
    <w:rsid w:val="009A72E7"/>
    <w:rsid w:val="009C75A2"/>
    <w:rsid w:val="009C7848"/>
    <w:rsid w:val="009C7E80"/>
    <w:rsid w:val="009D2C8E"/>
    <w:rsid w:val="009F1E12"/>
    <w:rsid w:val="009F6A26"/>
    <w:rsid w:val="00A12917"/>
    <w:rsid w:val="00A16621"/>
    <w:rsid w:val="00A276CB"/>
    <w:rsid w:val="00A318CB"/>
    <w:rsid w:val="00A47B07"/>
    <w:rsid w:val="00A520DD"/>
    <w:rsid w:val="00A5348B"/>
    <w:rsid w:val="00A571EB"/>
    <w:rsid w:val="00A5740C"/>
    <w:rsid w:val="00A578A1"/>
    <w:rsid w:val="00A6793C"/>
    <w:rsid w:val="00A725C3"/>
    <w:rsid w:val="00A75CDB"/>
    <w:rsid w:val="00A77B3E"/>
    <w:rsid w:val="00A848C7"/>
    <w:rsid w:val="00AB25F9"/>
    <w:rsid w:val="00AB2E98"/>
    <w:rsid w:val="00AB72ED"/>
    <w:rsid w:val="00AE2760"/>
    <w:rsid w:val="00AF37D8"/>
    <w:rsid w:val="00AF53C4"/>
    <w:rsid w:val="00AF5EEF"/>
    <w:rsid w:val="00B07A0F"/>
    <w:rsid w:val="00B17330"/>
    <w:rsid w:val="00B226A7"/>
    <w:rsid w:val="00B23F3F"/>
    <w:rsid w:val="00B2765B"/>
    <w:rsid w:val="00B31327"/>
    <w:rsid w:val="00B47081"/>
    <w:rsid w:val="00B57568"/>
    <w:rsid w:val="00B67A03"/>
    <w:rsid w:val="00B71546"/>
    <w:rsid w:val="00B84F80"/>
    <w:rsid w:val="00B92CCB"/>
    <w:rsid w:val="00B95983"/>
    <w:rsid w:val="00BA4A8E"/>
    <w:rsid w:val="00BB4BBE"/>
    <w:rsid w:val="00BC2454"/>
    <w:rsid w:val="00BC6264"/>
    <w:rsid w:val="00BD5E16"/>
    <w:rsid w:val="00BE0860"/>
    <w:rsid w:val="00BE26EA"/>
    <w:rsid w:val="00BE3149"/>
    <w:rsid w:val="00BE475D"/>
    <w:rsid w:val="00BE6FE7"/>
    <w:rsid w:val="00C01638"/>
    <w:rsid w:val="00C01C44"/>
    <w:rsid w:val="00C142E7"/>
    <w:rsid w:val="00C1703F"/>
    <w:rsid w:val="00C20CCC"/>
    <w:rsid w:val="00C37BFE"/>
    <w:rsid w:val="00C412F9"/>
    <w:rsid w:val="00C45637"/>
    <w:rsid w:val="00C618E1"/>
    <w:rsid w:val="00C63537"/>
    <w:rsid w:val="00C67BC3"/>
    <w:rsid w:val="00C7323D"/>
    <w:rsid w:val="00C91FB7"/>
    <w:rsid w:val="00C96B76"/>
    <w:rsid w:val="00CA1175"/>
    <w:rsid w:val="00CA36F5"/>
    <w:rsid w:val="00CB17C2"/>
    <w:rsid w:val="00CB5174"/>
    <w:rsid w:val="00CC6D6B"/>
    <w:rsid w:val="00CD56DB"/>
    <w:rsid w:val="00CD5E3C"/>
    <w:rsid w:val="00D024A0"/>
    <w:rsid w:val="00D40FE2"/>
    <w:rsid w:val="00D42C66"/>
    <w:rsid w:val="00D45003"/>
    <w:rsid w:val="00D45DC6"/>
    <w:rsid w:val="00D70C41"/>
    <w:rsid w:val="00D721EF"/>
    <w:rsid w:val="00D72E70"/>
    <w:rsid w:val="00D924A4"/>
    <w:rsid w:val="00DB70B2"/>
    <w:rsid w:val="00DC1505"/>
    <w:rsid w:val="00DD42BA"/>
    <w:rsid w:val="00DE5A5F"/>
    <w:rsid w:val="00DF41D6"/>
    <w:rsid w:val="00E001BB"/>
    <w:rsid w:val="00E135FA"/>
    <w:rsid w:val="00E239C5"/>
    <w:rsid w:val="00E244DF"/>
    <w:rsid w:val="00E54AF2"/>
    <w:rsid w:val="00E57D24"/>
    <w:rsid w:val="00E67A7B"/>
    <w:rsid w:val="00E67E47"/>
    <w:rsid w:val="00E75844"/>
    <w:rsid w:val="00E76632"/>
    <w:rsid w:val="00E857FD"/>
    <w:rsid w:val="00E86FD2"/>
    <w:rsid w:val="00E90AAD"/>
    <w:rsid w:val="00E9427C"/>
    <w:rsid w:val="00EA1D12"/>
    <w:rsid w:val="00EB3273"/>
    <w:rsid w:val="00EB7643"/>
    <w:rsid w:val="00EE22CA"/>
    <w:rsid w:val="00EE7289"/>
    <w:rsid w:val="00EF065E"/>
    <w:rsid w:val="00EF2C56"/>
    <w:rsid w:val="00F05698"/>
    <w:rsid w:val="00F15F9D"/>
    <w:rsid w:val="00F27540"/>
    <w:rsid w:val="00F33DC2"/>
    <w:rsid w:val="00F41DBC"/>
    <w:rsid w:val="00F50A4D"/>
    <w:rsid w:val="00F629F3"/>
    <w:rsid w:val="00F67E06"/>
    <w:rsid w:val="00F80805"/>
    <w:rsid w:val="00FD553E"/>
    <w:rsid w:val="00FE3FC2"/>
    <w:rsid w:val="00FF19FC"/>
    <w:rsid w:val="00FF5377"/>
    <w:rsid w:val="03C98BD3"/>
    <w:rsid w:val="0F5B0F77"/>
    <w:rsid w:val="14A91962"/>
    <w:rsid w:val="150F49AA"/>
    <w:rsid w:val="19436134"/>
    <w:rsid w:val="19A260E1"/>
    <w:rsid w:val="19C160FA"/>
    <w:rsid w:val="1ADA9475"/>
    <w:rsid w:val="1F0FF441"/>
    <w:rsid w:val="2180EBEF"/>
    <w:rsid w:val="235129E3"/>
    <w:rsid w:val="2A8DE44C"/>
    <w:rsid w:val="3A341D6D"/>
    <w:rsid w:val="444FFB16"/>
    <w:rsid w:val="6C8FD61A"/>
    <w:rsid w:val="7449C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EF2C56"/>
    <w:rPr>
      <w:sz w:val="16"/>
      <w:szCs w:val="16"/>
    </w:rPr>
  </w:style>
  <w:style w:type="paragraph" w:styleId="CommentText0">
    <w:name w:val="annotation text"/>
    <w:basedOn w:val="Normal"/>
    <w:link w:val="CommentTextChar"/>
    <w:uiPriority w:val="99"/>
    <w:unhideWhenUsed/>
    <w:rsid w:val="00EF2C56"/>
    <w:pPr>
      <w:spacing w:line="240" w:lineRule="auto"/>
    </w:pPr>
  </w:style>
  <w:style w:type="character" w:customStyle="1" w:styleId="CommentTextChar">
    <w:name w:val="Comment Text Char"/>
    <w:basedOn w:val="DefaultParagraphFont"/>
    <w:link w:val="CommentText0"/>
    <w:uiPriority w:val="99"/>
    <w:rsid w:val="00EF2C56"/>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EF2C56"/>
    <w:rPr>
      <w:b/>
      <w:bCs/>
    </w:rPr>
  </w:style>
  <w:style w:type="character" w:customStyle="1" w:styleId="CommentSubjectChar">
    <w:name w:val="Comment Subject Char"/>
    <w:basedOn w:val="CommentTextChar"/>
    <w:link w:val="CommentSubject"/>
    <w:uiPriority w:val="99"/>
    <w:semiHidden/>
    <w:rsid w:val="00EF2C56"/>
    <w:rPr>
      <w:rFonts w:ascii="Arial" w:hAnsi="Arial" w:cs="Arial"/>
      <w:b/>
      <w:bCs/>
      <w:sz w:val="20"/>
      <w:szCs w:val="20"/>
      <w:lang w:eastAsia="zh-CN"/>
    </w:rPr>
  </w:style>
  <w:style w:type="paragraph" w:customStyle="1" w:styleId="pf0">
    <w:name w:val="pf0"/>
    <w:basedOn w:val="Normal"/>
    <w:rsid w:val="00B31327"/>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cf01">
    <w:name w:val="cf01"/>
    <w:basedOn w:val="DefaultParagraphFont"/>
    <w:rsid w:val="00B31327"/>
    <w:rPr>
      <w:rFonts w:ascii="Segoe UI" w:hAnsi="Segoe UI" w:cs="Segoe UI" w:hint="default"/>
      <w:sz w:val="18"/>
      <w:szCs w:val="18"/>
    </w:rPr>
  </w:style>
  <w:style w:type="paragraph" w:styleId="BalloonText">
    <w:name w:val="Balloon Text"/>
    <w:basedOn w:val="Normal"/>
    <w:link w:val="BalloonTextChar"/>
    <w:uiPriority w:val="99"/>
    <w:semiHidden/>
    <w:unhideWhenUsed/>
    <w:rsid w:val="00E90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AAD"/>
    <w:rPr>
      <w:rFonts w:ascii="Segoe UI" w:hAnsi="Segoe UI" w:cs="Segoe UI"/>
      <w:sz w:val="18"/>
      <w:szCs w:val="18"/>
      <w:lang w:eastAsia="zh-CN"/>
    </w:rPr>
  </w:style>
  <w:style w:type="paragraph" w:styleId="Revision">
    <w:name w:val="Revision"/>
    <w:hidden/>
    <w:uiPriority w:val="99"/>
    <w:semiHidden/>
    <w:rsid w:val="00AF37D8"/>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5A0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017">
      <w:bodyDiv w:val="1"/>
      <w:marLeft w:val="0"/>
      <w:marRight w:val="0"/>
      <w:marTop w:val="0"/>
      <w:marBottom w:val="0"/>
      <w:divBdr>
        <w:top w:val="none" w:sz="0" w:space="0" w:color="auto"/>
        <w:left w:val="none" w:sz="0" w:space="0" w:color="auto"/>
        <w:bottom w:val="none" w:sz="0" w:space="0" w:color="auto"/>
        <w:right w:val="none" w:sz="0" w:space="0" w:color="auto"/>
      </w:divBdr>
    </w:div>
    <w:div w:id="209978692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sc.li/4laqj4k"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svg"/><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sv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mFH6ND"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image" Target="media/image1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image" Target="media/image22.sv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org/wheelbarrow/T" TargetMode="External"/><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image" Target="media/image20.svg"/><Relationship Id="rId38" Type="http://schemas.openxmlformats.org/officeDocument/2006/relationships/image" Target="media/image25.png"/></Relationships>
</file>

<file path=word/_rels/header1.xml.rels><?xml version="1.0" encoding="UTF-8" standalone="yes"?>
<Relationships xmlns="http://schemas.openxmlformats.org/package/2006/relationships"><Relationship Id="rId3" Type="http://schemas.openxmlformats.org/officeDocument/2006/relationships/hyperlink" Target="https://rsc.li/4kIRGkR" TargetMode="External"/><Relationship Id="rId2" Type="http://schemas.openxmlformats.org/officeDocument/2006/relationships/image" Target="media/image28.emf"/><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B91E-2230-401D-8F1E-C07A2B081EB3}">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2.xml><?xml version="1.0" encoding="utf-8"?>
<ds:datastoreItem xmlns:ds="http://schemas.openxmlformats.org/officeDocument/2006/customXml" ds:itemID="{BAFEFC55-26CD-4C4C-A51D-ABD61100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3C9F8-53AF-4EF6-84C2-C50A0C9726AC}">
  <ds:schemaRefs>
    <ds:schemaRef ds:uri="http://schemas.microsoft.com/sharepoint/v3/contenttype/forms"/>
  </ds:schemaRefs>
</ds:datastoreItem>
</file>

<file path=customXml/itemProps4.xml><?xml version="1.0" encoding="utf-8"?>
<ds:datastoreItem xmlns:ds="http://schemas.openxmlformats.org/officeDocument/2006/customXml" ds:itemID="{F10DEB5C-AAB0-4D26-83E6-770FAB79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Melting and boiling points developing understanding student sheet</vt:lpstr>
    </vt:vector>
  </TitlesOfParts>
  <Manager/>
  <Company>Royal Society Of Chemistry</Company>
  <LinksUpToDate>false</LinksUpToDate>
  <CharactersWithSpaces>6034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Melting and boiling points developing understanding student sheet</dc:title>
  <dc:subject/>
  <dc:creator>Royal Society Of Chemistry</dc:creator>
  <cp:keywords>melting point; boiling point; states of matter; changing states; solid; liquid; gas; particle model; KS3; chemistry; worksheet; Johnstone's triangle; macroscopic; sub-microscopic; symbolic</cp:keywords>
  <dc:description>From https://rsc.li/4kIRGkR; student worksheet also availble</dc:description>
  <cp:lastModifiedBy>Kirsty Patterson</cp:lastModifiedBy>
  <cp:revision>85</cp:revision>
  <dcterms:created xsi:type="dcterms:W3CDTF">2025-04-28T13:52:00Z</dcterms:created>
  <dcterms:modified xsi:type="dcterms:W3CDTF">2025-07-01T18:22:00Z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38816000</vt:r8>
  </property>
  <property fmtid="{D5CDD505-2E9C-101B-9397-08002B2CF9AE}" pid="4" name="_dlc_DocIdItemGuid">
    <vt:lpwstr>a4184bc7-2177-7d4c-8b71-fcf1715576c6</vt:lpwstr>
  </property>
  <property fmtid="{D5CDD505-2E9C-101B-9397-08002B2CF9AE}" pid="5" name="xd_Signature">
    <vt:bool>false</vt:bool>
  </property>
  <property fmtid="{D5CDD505-2E9C-101B-9397-08002B2CF9AE}" pid="6" name="xd_ProgID">
    <vt:lpwstr/>
  </property>
  <property fmtid="{D5CDD505-2E9C-101B-9397-08002B2CF9AE}" pid="7" name="_dlc_DocId">
    <vt:lpwstr>3NRJHQVPYV53-1428155273-4541684</vt:lpwstr>
  </property>
  <property fmtid="{D5CDD505-2E9C-101B-9397-08002B2CF9AE}" pid="8" name="TriggerFlowInfo">
    <vt:lpwstr/>
  </property>
  <property fmtid="{D5CDD505-2E9C-101B-9397-08002B2CF9AE}" pid="9" name="_dlc_DocIdUrl">
    <vt:lpwstr>https://royalsocietychemistry.sharepoint.com/sites/Shares_Additional/_layouts/15/DocIdRedir.aspx?ID=3NRJHQVPYV53-1428155273-4541684, 3NRJHQVPYV53-1428155273-4541684</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