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41DD3370" w:rsidR="0005693A" w:rsidRDefault="002365B5" w:rsidP="0005693A">
      <w:pPr>
        <w:pStyle w:val="Heading1"/>
      </w:pPr>
      <w:r>
        <w:t>Defining intended outcomes of practical work</w:t>
      </w:r>
    </w:p>
    <w:p w14:paraId="4FB10F87" w14:textId="3145E796" w:rsidR="0005693A" w:rsidRPr="002365B5" w:rsidRDefault="0005693A" w:rsidP="0005693A">
      <w:pPr>
        <w:pStyle w:val="Leadparagraph"/>
        <w:rPr>
          <w:rStyle w:val="LeadparagraphChar"/>
          <w:strike/>
          <w:color w:val="FF0000"/>
        </w:rPr>
      </w:pPr>
      <w:r w:rsidRPr="009875B2">
        <w:rPr>
          <w:rStyle w:val="LeadparagraphChar"/>
          <w:b/>
          <w:i/>
        </w:rPr>
        <w:t>Education in Chemistry</w:t>
      </w:r>
      <w:r>
        <w:rPr>
          <w:rStyle w:val="LeadparagraphChar"/>
          <w:b/>
        </w:rPr>
        <w:br/>
      </w:r>
      <w:r w:rsidR="002365B5">
        <w:rPr>
          <w:rStyle w:val="LeadparagraphChar"/>
        </w:rPr>
        <w:t>September 2019</w:t>
      </w:r>
      <w:r>
        <w:rPr>
          <w:rStyle w:val="LeadparagraphChar"/>
        </w:rPr>
        <w:br/>
      </w:r>
      <w:hyperlink r:id="rId10" w:history="1">
        <w:r w:rsidR="000C253B" w:rsidRPr="00E51550">
          <w:rPr>
            <w:rStyle w:val="Hyperlink"/>
            <w:b w:val="0"/>
          </w:rPr>
          <w:t>rsc.li/2JMvKa5</w:t>
        </w:r>
      </w:hyperlink>
    </w:p>
    <w:p w14:paraId="2D1101BA" w14:textId="3F3D5A1C" w:rsidR="000F2AD8" w:rsidRDefault="006C01DC" w:rsidP="00317496">
      <w:pPr>
        <w:pStyle w:val="Leadparagraph"/>
      </w:pPr>
      <w:r>
        <w:t xml:space="preserve">When considering a practical, </w:t>
      </w:r>
      <w:r w:rsidR="00850C59">
        <w:t xml:space="preserve">you first need to </w:t>
      </w:r>
      <w:r>
        <w:t>define the intended learning outcom</w:t>
      </w:r>
      <w:r w:rsidR="00850C59">
        <w:t>es. The outcomes can be categorised as h</w:t>
      </w:r>
      <w:r w:rsidR="007B44FB">
        <w:t xml:space="preserve">ands </w:t>
      </w:r>
      <w:r>
        <w:t>on, what students are</w:t>
      </w:r>
      <w:r w:rsidR="00850C59">
        <w:t xml:space="preserve"> going to do with objects, and m</w:t>
      </w:r>
      <w:r w:rsidR="007B44FB">
        <w:t xml:space="preserve">inds </w:t>
      </w:r>
      <w:r>
        <w:t xml:space="preserve">on, what students are going to do with ideas to show their understanding. Filling in a table like these can help; a blank </w:t>
      </w:r>
      <w:r w:rsidR="00850C59">
        <w:t>template</w:t>
      </w:r>
      <w:r>
        <w:t xml:space="preserve"> is at the end. These examples are based on GCSE chemistry </w:t>
      </w:r>
      <w:proofErr w:type="spellStart"/>
      <w:r>
        <w:t>practicals</w:t>
      </w:r>
      <w:proofErr w:type="spellEnd"/>
      <w:r>
        <w:t>.</w:t>
      </w:r>
      <w:r w:rsidR="00317496">
        <w:t xml:space="preserve"> </w:t>
      </w:r>
    </w:p>
    <w:p w14:paraId="47F4AA93" w14:textId="2C63BF8F" w:rsidR="006C01DC" w:rsidRPr="000F2AD8" w:rsidRDefault="000F2AD8" w:rsidP="00317496">
      <w:pPr>
        <w:pStyle w:val="Leadparagraph"/>
        <w:rPr>
          <w:b w:val="0"/>
        </w:rPr>
      </w:pPr>
      <w:r>
        <w:rPr>
          <w:b w:val="0"/>
        </w:rPr>
        <w:t>Lower</w:t>
      </w:r>
      <w:r w:rsidR="006C01DC" w:rsidRPr="000F2AD8">
        <w:rPr>
          <w:b w:val="0"/>
        </w:rPr>
        <w:t xml:space="preserve"> and higher levels reflect</w:t>
      </w:r>
      <w:r w:rsidR="00850C59" w:rsidRPr="000F2AD8">
        <w:rPr>
          <w:b w:val="0"/>
        </w:rPr>
        <w:t xml:space="preserve"> that</w:t>
      </w:r>
      <w:r w:rsidR="006C01DC" w:rsidRPr="000F2AD8">
        <w:rPr>
          <w:b w:val="0"/>
        </w:rPr>
        <w:t xml:space="preserve"> a degree of differentiation is possible with practical effectiveness. These are suggested outcomes; further outcomes could be used to </w:t>
      </w:r>
      <w:r>
        <w:rPr>
          <w:b w:val="0"/>
        </w:rPr>
        <w:t>show</w:t>
      </w:r>
      <w:bookmarkStart w:id="0" w:name="_GoBack"/>
      <w:bookmarkEnd w:id="0"/>
      <w:r w:rsidR="002F75BD" w:rsidRPr="000F2AD8">
        <w:rPr>
          <w:b w:val="0"/>
        </w:rPr>
        <w:t xml:space="preserve"> effective practical work.</w:t>
      </w:r>
    </w:p>
    <w:p w14:paraId="5D5609EC" w14:textId="68AB5622" w:rsidR="0005693A" w:rsidRDefault="0035233C" w:rsidP="0005693A">
      <w:pPr>
        <w:pStyle w:val="Heading2"/>
      </w:pPr>
      <w:r>
        <w:t>Making soluble salts</w:t>
      </w:r>
    </w:p>
    <w:p w14:paraId="57407ABA" w14:textId="5E3F0942" w:rsidR="0035233C" w:rsidRDefault="0035233C" w:rsidP="0035233C">
      <w:r>
        <w:t xml:space="preserve">For example, making copper </w:t>
      </w:r>
      <w:proofErr w:type="spellStart"/>
      <w:r>
        <w:t>sulfate</w:t>
      </w:r>
      <w:proofErr w:type="spellEnd"/>
      <w:r>
        <w:t xml:space="preserve"> from copper oxide and </w:t>
      </w:r>
      <w:proofErr w:type="spellStart"/>
      <w:r>
        <w:t>sulfuric</w:t>
      </w:r>
      <w:proofErr w:type="spellEnd"/>
      <w:r>
        <w:t xml:space="preserve"> acid.</w:t>
      </w:r>
    </w:p>
    <w:tbl>
      <w:tblPr>
        <w:tblStyle w:val="TableGrid"/>
        <w:tblW w:w="9351" w:type="dxa"/>
        <w:jc w:val="center"/>
        <w:tblLook w:val="04A0" w:firstRow="1" w:lastRow="0" w:firstColumn="1" w:lastColumn="0" w:noHBand="0" w:noVBand="1"/>
      </w:tblPr>
      <w:tblGrid>
        <w:gridCol w:w="1271"/>
        <w:gridCol w:w="3969"/>
        <w:gridCol w:w="4111"/>
      </w:tblGrid>
      <w:tr w:rsidR="0035233C" w14:paraId="032C1EB8" w14:textId="77777777" w:rsidTr="0049271E">
        <w:trPr>
          <w:jc w:val="center"/>
        </w:trPr>
        <w:tc>
          <w:tcPr>
            <w:tcW w:w="1271" w:type="dxa"/>
          </w:tcPr>
          <w:p w14:paraId="5FB117FF" w14:textId="77777777" w:rsidR="0035233C" w:rsidRDefault="0035233C" w:rsidP="00566BC6"/>
        </w:tc>
        <w:tc>
          <w:tcPr>
            <w:tcW w:w="3969" w:type="dxa"/>
          </w:tcPr>
          <w:p w14:paraId="27F27717" w14:textId="73D6B4A4" w:rsidR="0035233C" w:rsidRPr="007B44FB" w:rsidRDefault="006E24B3" w:rsidP="006E24B3">
            <w:pPr>
              <w:rPr>
                <w:b/>
              </w:rPr>
            </w:pPr>
            <w:r>
              <w:rPr>
                <w:b/>
              </w:rPr>
              <w:t>Hands on</w:t>
            </w:r>
          </w:p>
        </w:tc>
        <w:tc>
          <w:tcPr>
            <w:tcW w:w="4111" w:type="dxa"/>
          </w:tcPr>
          <w:p w14:paraId="1BCF84F3" w14:textId="41792FA0" w:rsidR="0035233C" w:rsidRPr="007B44FB" w:rsidRDefault="0035233C" w:rsidP="006E24B3">
            <w:pPr>
              <w:rPr>
                <w:b/>
              </w:rPr>
            </w:pPr>
            <w:r w:rsidRPr="007B44FB">
              <w:rPr>
                <w:b/>
              </w:rPr>
              <w:t>Minds on</w:t>
            </w:r>
          </w:p>
        </w:tc>
      </w:tr>
      <w:tr w:rsidR="0035233C" w14:paraId="47A43594" w14:textId="77777777" w:rsidTr="0049271E">
        <w:trPr>
          <w:jc w:val="center"/>
        </w:trPr>
        <w:tc>
          <w:tcPr>
            <w:tcW w:w="1271" w:type="dxa"/>
          </w:tcPr>
          <w:p w14:paraId="4EA33469" w14:textId="77777777" w:rsidR="0035233C" w:rsidRDefault="0035233C" w:rsidP="00566BC6">
            <w:r>
              <w:t>Effective at a lower level</w:t>
            </w:r>
          </w:p>
        </w:tc>
        <w:tc>
          <w:tcPr>
            <w:tcW w:w="3969" w:type="dxa"/>
          </w:tcPr>
          <w:p w14:paraId="661E897E" w14:textId="47D81FD9" w:rsidR="0035233C" w:rsidRDefault="006C01DC" w:rsidP="00566BC6">
            <w:r>
              <w:t>Students</w:t>
            </w:r>
            <w:r w:rsidR="0035233C">
              <w:t xml:space="preserve"> correctly: </w:t>
            </w:r>
          </w:p>
          <w:p w14:paraId="3C8DA674" w14:textId="51659B56" w:rsidR="0035233C" w:rsidRDefault="0049271E" w:rsidP="0035233C">
            <w:pPr>
              <w:pStyle w:val="ListParagraph"/>
              <w:keepLines w:val="0"/>
              <w:numPr>
                <w:ilvl w:val="0"/>
                <w:numId w:val="8"/>
              </w:numPr>
              <w:spacing w:after="0"/>
              <w:ind w:left="175" w:hanging="120"/>
            </w:pPr>
            <w:r>
              <w:t>Warm</w:t>
            </w:r>
            <w:r w:rsidR="0035233C">
              <w:t xml:space="preserve"> the acid safely</w:t>
            </w:r>
            <w:r w:rsidR="002931C1">
              <w:t xml:space="preserve"> and </w:t>
            </w:r>
            <w:r w:rsidR="0035233C">
              <w:t>add copper oxide until the sulphuric acid is neutralised.</w:t>
            </w:r>
          </w:p>
          <w:p w14:paraId="21377766" w14:textId="619710F6" w:rsidR="0035233C" w:rsidRDefault="0049271E" w:rsidP="0035233C">
            <w:pPr>
              <w:pStyle w:val="ListParagraph"/>
              <w:keepLines w:val="0"/>
              <w:numPr>
                <w:ilvl w:val="0"/>
                <w:numId w:val="8"/>
              </w:numPr>
              <w:spacing w:after="0"/>
              <w:ind w:left="175" w:hanging="120"/>
            </w:pPr>
            <w:r>
              <w:t>Set</w:t>
            </w:r>
            <w:r w:rsidR="0035233C">
              <w:t xml:space="preserve"> up the filtration equipment including folding the filter paper.</w:t>
            </w:r>
          </w:p>
          <w:p w14:paraId="67EC53ED" w14:textId="58F119CB" w:rsidR="0035233C" w:rsidRDefault="0049271E" w:rsidP="0035233C">
            <w:pPr>
              <w:pStyle w:val="ListParagraph"/>
              <w:keepLines w:val="0"/>
              <w:numPr>
                <w:ilvl w:val="0"/>
                <w:numId w:val="8"/>
              </w:numPr>
              <w:spacing w:after="0"/>
              <w:ind w:left="175" w:hanging="120"/>
            </w:pPr>
            <w:r>
              <w:t>Concentrate</w:t>
            </w:r>
            <w:r w:rsidR="0035233C">
              <w:t xml:space="preserve"> the salt solution using a water bath.</w:t>
            </w:r>
          </w:p>
        </w:tc>
        <w:tc>
          <w:tcPr>
            <w:tcW w:w="4111" w:type="dxa"/>
          </w:tcPr>
          <w:p w14:paraId="705C9D10" w14:textId="77777777" w:rsidR="0035233C" w:rsidRDefault="0035233C" w:rsidP="0035233C">
            <w:pPr>
              <w:pStyle w:val="ListParagraph"/>
              <w:keepLines w:val="0"/>
              <w:numPr>
                <w:ilvl w:val="0"/>
                <w:numId w:val="8"/>
              </w:numPr>
              <w:spacing w:after="0"/>
              <w:ind w:left="246" w:hanging="190"/>
            </w:pPr>
            <w:r>
              <w:t>Students can talk about adding copper oxide until no more reacts as a way of ensuring all the acid has reacted.</w:t>
            </w:r>
          </w:p>
          <w:p w14:paraId="2C025338" w14:textId="3A795E71" w:rsidR="0035233C" w:rsidRDefault="0035233C" w:rsidP="0035233C">
            <w:pPr>
              <w:pStyle w:val="ListParagraph"/>
              <w:keepLines w:val="0"/>
              <w:numPr>
                <w:ilvl w:val="0"/>
                <w:numId w:val="8"/>
              </w:numPr>
              <w:spacing w:after="0"/>
              <w:ind w:left="246" w:hanging="190"/>
            </w:pPr>
            <w:r>
              <w:t>Students can discuss how filtration removes unreacted reactants.</w:t>
            </w:r>
          </w:p>
          <w:p w14:paraId="703F4E1A" w14:textId="462F69A3" w:rsidR="0035233C" w:rsidRDefault="0035233C" w:rsidP="00ED34E6">
            <w:pPr>
              <w:pStyle w:val="ListParagraph"/>
              <w:keepLines w:val="0"/>
              <w:numPr>
                <w:ilvl w:val="0"/>
                <w:numId w:val="8"/>
              </w:numPr>
              <w:spacing w:after="0"/>
              <w:ind w:left="246" w:hanging="190"/>
            </w:pPr>
            <w:r>
              <w:t>Students can talk about how water is being evaporated leaving the salt behind.</w:t>
            </w:r>
          </w:p>
        </w:tc>
      </w:tr>
      <w:tr w:rsidR="0035233C" w14:paraId="23A8D51D" w14:textId="77777777" w:rsidTr="0049271E">
        <w:trPr>
          <w:jc w:val="center"/>
        </w:trPr>
        <w:tc>
          <w:tcPr>
            <w:tcW w:w="1271" w:type="dxa"/>
          </w:tcPr>
          <w:p w14:paraId="01A84B9B" w14:textId="77777777" w:rsidR="0035233C" w:rsidRDefault="0035233C" w:rsidP="00566BC6">
            <w:r>
              <w:t>Effective at a higher level</w:t>
            </w:r>
          </w:p>
        </w:tc>
        <w:tc>
          <w:tcPr>
            <w:tcW w:w="3969" w:type="dxa"/>
          </w:tcPr>
          <w:p w14:paraId="334CBBA4" w14:textId="77777777" w:rsidR="00822603" w:rsidRDefault="00822603" w:rsidP="00822603">
            <w:r>
              <w:t xml:space="preserve">Students correctly: </w:t>
            </w:r>
          </w:p>
          <w:p w14:paraId="30692ECF" w14:textId="2CE33520" w:rsidR="0035233C" w:rsidRDefault="00822603" w:rsidP="0035233C">
            <w:pPr>
              <w:pStyle w:val="ListParagraph"/>
              <w:keepLines w:val="0"/>
              <w:numPr>
                <w:ilvl w:val="0"/>
                <w:numId w:val="10"/>
              </w:numPr>
              <w:spacing w:after="0"/>
              <w:ind w:left="175" w:hanging="142"/>
            </w:pPr>
            <w:r>
              <w:t>R</w:t>
            </w:r>
            <w:r w:rsidR="0035233C">
              <w:t>ecall all the correct equipment for the practical and construct a method that would be effective in producing a sample of salt.</w:t>
            </w:r>
          </w:p>
        </w:tc>
        <w:tc>
          <w:tcPr>
            <w:tcW w:w="4111" w:type="dxa"/>
          </w:tcPr>
          <w:p w14:paraId="4E358933" w14:textId="24B87B19" w:rsidR="0035233C" w:rsidRDefault="0035233C" w:rsidP="0035233C">
            <w:pPr>
              <w:pStyle w:val="ListParagraph"/>
              <w:keepLines w:val="0"/>
              <w:numPr>
                <w:ilvl w:val="0"/>
                <w:numId w:val="9"/>
              </w:numPr>
              <w:spacing w:after="0"/>
              <w:ind w:left="246" w:hanging="190"/>
            </w:pPr>
            <w:r>
              <w:t>Students can discuss how evaporation leads to an increase in concentration of the salt solution.</w:t>
            </w:r>
          </w:p>
          <w:p w14:paraId="76DD523D" w14:textId="6BA6D5A0" w:rsidR="0035233C" w:rsidRDefault="0035233C" w:rsidP="0035233C">
            <w:pPr>
              <w:pStyle w:val="ListParagraph"/>
              <w:keepLines w:val="0"/>
              <w:numPr>
                <w:ilvl w:val="0"/>
                <w:numId w:val="9"/>
              </w:numPr>
              <w:spacing w:after="0"/>
              <w:ind w:left="246" w:hanging="190"/>
            </w:pPr>
            <w:r>
              <w:t>Students can explain that the solubility of solutes can vary with concentration.</w:t>
            </w:r>
          </w:p>
        </w:tc>
      </w:tr>
    </w:tbl>
    <w:p w14:paraId="52DBA6E8" w14:textId="77777777" w:rsidR="006F022D" w:rsidRPr="00994B3E" w:rsidRDefault="006F022D" w:rsidP="006F022D">
      <w:pPr>
        <w:pStyle w:val="Heading2"/>
      </w:pPr>
      <w:r w:rsidRPr="00994B3E">
        <w:t>Chromatography</w:t>
      </w:r>
    </w:p>
    <w:p w14:paraId="4F9F0645" w14:textId="77777777" w:rsidR="006F022D" w:rsidRDefault="006F022D" w:rsidP="006F022D">
      <w:r>
        <w:t>For example, separating the pigments in lipstick.</w:t>
      </w:r>
    </w:p>
    <w:tbl>
      <w:tblPr>
        <w:tblStyle w:val="TableGrid"/>
        <w:tblW w:w="9351" w:type="dxa"/>
        <w:jc w:val="center"/>
        <w:tblLook w:val="04A0" w:firstRow="1" w:lastRow="0" w:firstColumn="1" w:lastColumn="0" w:noHBand="0" w:noVBand="1"/>
      </w:tblPr>
      <w:tblGrid>
        <w:gridCol w:w="1271"/>
        <w:gridCol w:w="3969"/>
        <w:gridCol w:w="4111"/>
      </w:tblGrid>
      <w:tr w:rsidR="006F022D" w14:paraId="16B928CA" w14:textId="77777777" w:rsidTr="0049271E">
        <w:trPr>
          <w:jc w:val="center"/>
        </w:trPr>
        <w:tc>
          <w:tcPr>
            <w:tcW w:w="1271" w:type="dxa"/>
          </w:tcPr>
          <w:p w14:paraId="22C065CD" w14:textId="77777777" w:rsidR="006F022D" w:rsidRDefault="006F022D" w:rsidP="0066278B"/>
        </w:tc>
        <w:tc>
          <w:tcPr>
            <w:tcW w:w="3969" w:type="dxa"/>
          </w:tcPr>
          <w:p w14:paraId="4A0E300E" w14:textId="417A7274" w:rsidR="006F022D" w:rsidRPr="00B03AB5" w:rsidRDefault="006F022D" w:rsidP="006E24B3">
            <w:pPr>
              <w:rPr>
                <w:b/>
              </w:rPr>
            </w:pPr>
            <w:r w:rsidRPr="00B03AB5">
              <w:rPr>
                <w:b/>
              </w:rPr>
              <w:t>Hands on</w:t>
            </w:r>
          </w:p>
        </w:tc>
        <w:tc>
          <w:tcPr>
            <w:tcW w:w="4111" w:type="dxa"/>
          </w:tcPr>
          <w:p w14:paraId="1D5666F9" w14:textId="3A23AE75" w:rsidR="006F022D" w:rsidRPr="00B03AB5" w:rsidRDefault="006F022D" w:rsidP="006E24B3">
            <w:pPr>
              <w:rPr>
                <w:b/>
              </w:rPr>
            </w:pPr>
            <w:r w:rsidRPr="00B03AB5">
              <w:rPr>
                <w:b/>
              </w:rPr>
              <w:t>Minds on</w:t>
            </w:r>
          </w:p>
        </w:tc>
      </w:tr>
      <w:tr w:rsidR="006F022D" w14:paraId="7124C9BA" w14:textId="77777777" w:rsidTr="0049271E">
        <w:trPr>
          <w:jc w:val="center"/>
        </w:trPr>
        <w:tc>
          <w:tcPr>
            <w:tcW w:w="1271" w:type="dxa"/>
          </w:tcPr>
          <w:p w14:paraId="585E880D" w14:textId="77777777" w:rsidR="006F022D" w:rsidRDefault="006F022D" w:rsidP="0066278B">
            <w:r>
              <w:t>Effective at a lower level</w:t>
            </w:r>
          </w:p>
        </w:tc>
        <w:tc>
          <w:tcPr>
            <w:tcW w:w="3969" w:type="dxa"/>
          </w:tcPr>
          <w:p w14:paraId="3D963D2E" w14:textId="77777777" w:rsidR="006F022D" w:rsidRDefault="006F022D" w:rsidP="0066278B">
            <w:r>
              <w:t>Students correctly:</w:t>
            </w:r>
          </w:p>
          <w:p w14:paraId="47B5DB1D" w14:textId="77777777" w:rsidR="006F022D" w:rsidRDefault="006F022D" w:rsidP="0066278B">
            <w:pPr>
              <w:pStyle w:val="ListParagraph"/>
              <w:keepLines w:val="0"/>
              <w:numPr>
                <w:ilvl w:val="0"/>
                <w:numId w:val="11"/>
              </w:numPr>
              <w:spacing w:after="0"/>
              <w:ind w:left="175" w:hanging="120"/>
            </w:pPr>
            <w:r>
              <w:t>Set up thin layer chromatography so that several spots or streaks can be observed.</w:t>
            </w:r>
          </w:p>
        </w:tc>
        <w:tc>
          <w:tcPr>
            <w:tcW w:w="4111" w:type="dxa"/>
          </w:tcPr>
          <w:p w14:paraId="26A3B35D" w14:textId="77777777" w:rsidR="006F022D" w:rsidRDefault="006F022D" w:rsidP="0066278B">
            <w:pPr>
              <w:pStyle w:val="ListParagraph"/>
              <w:keepLines w:val="0"/>
              <w:numPr>
                <w:ilvl w:val="0"/>
                <w:numId w:val="11"/>
              </w:numPr>
              <w:spacing w:after="0"/>
              <w:ind w:left="246" w:hanging="190"/>
            </w:pPr>
            <w:r>
              <w:t>Students can talk about how different substances move at different speeds up the paper and that different spots indicate different substances.</w:t>
            </w:r>
          </w:p>
        </w:tc>
      </w:tr>
      <w:tr w:rsidR="006F022D" w14:paraId="3366DC2E" w14:textId="77777777" w:rsidTr="0049271E">
        <w:trPr>
          <w:jc w:val="center"/>
        </w:trPr>
        <w:tc>
          <w:tcPr>
            <w:tcW w:w="1271" w:type="dxa"/>
          </w:tcPr>
          <w:p w14:paraId="2B5BE7B2" w14:textId="77777777" w:rsidR="006F022D" w:rsidRDefault="006F022D" w:rsidP="0066278B">
            <w:r>
              <w:t>Effective at a higher level</w:t>
            </w:r>
          </w:p>
        </w:tc>
        <w:tc>
          <w:tcPr>
            <w:tcW w:w="3969" w:type="dxa"/>
          </w:tcPr>
          <w:p w14:paraId="7FD46CB4" w14:textId="77777777" w:rsidR="006F022D" w:rsidRDefault="006F022D" w:rsidP="0066278B">
            <w:r>
              <w:t>Students correctly:</w:t>
            </w:r>
          </w:p>
          <w:p w14:paraId="135B3BD1" w14:textId="77777777" w:rsidR="006F022D" w:rsidRDefault="006F022D" w:rsidP="0066278B">
            <w:pPr>
              <w:pStyle w:val="ListParagraph"/>
              <w:keepLines w:val="0"/>
              <w:numPr>
                <w:ilvl w:val="0"/>
                <w:numId w:val="11"/>
              </w:numPr>
              <w:spacing w:after="0"/>
              <w:ind w:left="175" w:hanging="120"/>
            </w:pPr>
            <w:r>
              <w:t>Discuss how the pattern on the chromatogram of an unknown sample may be compared to a known sample to help identify the unknown one.</w:t>
            </w:r>
          </w:p>
        </w:tc>
        <w:tc>
          <w:tcPr>
            <w:tcW w:w="4111" w:type="dxa"/>
          </w:tcPr>
          <w:p w14:paraId="2E126F4F" w14:textId="77777777" w:rsidR="006F022D" w:rsidRDefault="006F022D" w:rsidP="0066278B">
            <w:pPr>
              <w:pStyle w:val="ListParagraph"/>
              <w:keepLines w:val="0"/>
              <w:numPr>
                <w:ilvl w:val="0"/>
                <w:numId w:val="11"/>
              </w:numPr>
              <w:spacing w:after="0"/>
              <w:ind w:left="246" w:hanging="190"/>
            </w:pPr>
            <w:r>
              <w:t xml:space="preserve">Students can measure the distance travelled of the spots and solvent front to calculate </w:t>
            </w:r>
            <w:proofErr w:type="spellStart"/>
            <w:proofErr w:type="gramStart"/>
            <w:r>
              <w:t>Rf</w:t>
            </w:r>
            <w:proofErr w:type="spellEnd"/>
            <w:proofErr w:type="gramEnd"/>
            <w:r>
              <w:t xml:space="preserve"> values.</w:t>
            </w:r>
          </w:p>
          <w:p w14:paraId="1444EDE3" w14:textId="77777777" w:rsidR="006F022D" w:rsidRDefault="006F022D" w:rsidP="0066278B">
            <w:pPr>
              <w:pStyle w:val="ListParagraph"/>
              <w:keepLines w:val="0"/>
              <w:numPr>
                <w:ilvl w:val="0"/>
                <w:numId w:val="11"/>
              </w:numPr>
              <w:spacing w:after="0"/>
              <w:ind w:left="246" w:hanging="190"/>
            </w:pPr>
            <w:r>
              <w:t xml:space="preserve">Students use </w:t>
            </w:r>
            <w:proofErr w:type="spellStart"/>
            <w:proofErr w:type="gramStart"/>
            <w:r>
              <w:t>Rf</w:t>
            </w:r>
            <w:proofErr w:type="spellEnd"/>
            <w:proofErr w:type="gramEnd"/>
            <w:r>
              <w:t xml:space="preserve"> values to correctly identify the pigments in an unknown sample.</w:t>
            </w:r>
          </w:p>
        </w:tc>
      </w:tr>
    </w:tbl>
    <w:p w14:paraId="0B29B77C" w14:textId="2680507B" w:rsidR="0035233C" w:rsidRPr="00994B3E" w:rsidRDefault="0035233C" w:rsidP="002F75BD">
      <w:pPr>
        <w:pStyle w:val="Heading2"/>
      </w:pPr>
      <w:r w:rsidRPr="00994B3E">
        <w:lastRenderedPageBreak/>
        <w:t>Measuring temperatur</w:t>
      </w:r>
      <w:r w:rsidRPr="002F75BD">
        <w:t>e</w:t>
      </w:r>
      <w:r w:rsidRPr="00994B3E">
        <w:t xml:space="preserve"> changes in a chemical reactions</w:t>
      </w:r>
    </w:p>
    <w:p w14:paraId="5A70CADD" w14:textId="6359B300" w:rsidR="0035233C" w:rsidRDefault="0035233C" w:rsidP="0035233C">
      <w:r>
        <w:t>For example, measuring the temperature change between sodium hydroxide and hydrochloric acid.</w:t>
      </w:r>
    </w:p>
    <w:tbl>
      <w:tblPr>
        <w:tblStyle w:val="TableGrid"/>
        <w:tblW w:w="9351" w:type="dxa"/>
        <w:jc w:val="center"/>
        <w:tblLook w:val="04A0" w:firstRow="1" w:lastRow="0" w:firstColumn="1" w:lastColumn="0" w:noHBand="0" w:noVBand="1"/>
      </w:tblPr>
      <w:tblGrid>
        <w:gridCol w:w="1271"/>
        <w:gridCol w:w="3969"/>
        <w:gridCol w:w="4111"/>
      </w:tblGrid>
      <w:tr w:rsidR="0035233C" w14:paraId="22614B43" w14:textId="77777777" w:rsidTr="0049271E">
        <w:trPr>
          <w:jc w:val="center"/>
        </w:trPr>
        <w:tc>
          <w:tcPr>
            <w:tcW w:w="1271" w:type="dxa"/>
          </w:tcPr>
          <w:p w14:paraId="342370AE" w14:textId="77777777" w:rsidR="0035233C" w:rsidRDefault="0035233C" w:rsidP="00566BC6"/>
        </w:tc>
        <w:tc>
          <w:tcPr>
            <w:tcW w:w="3969" w:type="dxa"/>
          </w:tcPr>
          <w:p w14:paraId="4EA6885F" w14:textId="043D2CD7" w:rsidR="0035233C" w:rsidRPr="00B03AB5" w:rsidRDefault="0035233C" w:rsidP="006E24B3">
            <w:pPr>
              <w:rPr>
                <w:b/>
              </w:rPr>
            </w:pPr>
            <w:r w:rsidRPr="00B03AB5">
              <w:rPr>
                <w:b/>
              </w:rPr>
              <w:t>Hands on</w:t>
            </w:r>
          </w:p>
        </w:tc>
        <w:tc>
          <w:tcPr>
            <w:tcW w:w="4111" w:type="dxa"/>
          </w:tcPr>
          <w:p w14:paraId="65CA7116" w14:textId="5B0740A2" w:rsidR="0035233C" w:rsidRPr="00B03AB5" w:rsidRDefault="0035233C" w:rsidP="006E24B3">
            <w:pPr>
              <w:rPr>
                <w:b/>
              </w:rPr>
            </w:pPr>
            <w:r w:rsidRPr="00B03AB5">
              <w:rPr>
                <w:b/>
              </w:rPr>
              <w:t>Minds on</w:t>
            </w:r>
          </w:p>
        </w:tc>
      </w:tr>
      <w:tr w:rsidR="0035233C" w14:paraId="169CAB34" w14:textId="77777777" w:rsidTr="0049271E">
        <w:trPr>
          <w:jc w:val="center"/>
        </w:trPr>
        <w:tc>
          <w:tcPr>
            <w:tcW w:w="1271" w:type="dxa"/>
          </w:tcPr>
          <w:p w14:paraId="0990FCE5" w14:textId="77777777" w:rsidR="0035233C" w:rsidRDefault="0035233C" w:rsidP="00566BC6">
            <w:r>
              <w:t>Effective at a lower level</w:t>
            </w:r>
          </w:p>
        </w:tc>
        <w:tc>
          <w:tcPr>
            <w:tcW w:w="3969" w:type="dxa"/>
          </w:tcPr>
          <w:p w14:paraId="1A428F79" w14:textId="138D02A6" w:rsidR="0035233C" w:rsidRDefault="006C01DC" w:rsidP="00566BC6">
            <w:r>
              <w:t>Students</w:t>
            </w:r>
            <w:r w:rsidR="0035233C">
              <w:t xml:space="preserve"> correctly:</w:t>
            </w:r>
          </w:p>
          <w:p w14:paraId="0686C3DE" w14:textId="52050FB6" w:rsidR="0035233C" w:rsidRDefault="0035233C" w:rsidP="0035233C">
            <w:pPr>
              <w:pStyle w:val="ListParagraph"/>
              <w:keepLines w:val="0"/>
              <w:numPr>
                <w:ilvl w:val="0"/>
                <w:numId w:val="11"/>
              </w:numPr>
              <w:spacing w:after="0"/>
              <w:ind w:left="175" w:hanging="120"/>
            </w:pPr>
            <w:r>
              <w:t>Measure and record the temperature of the reaction before adding the reactants.</w:t>
            </w:r>
          </w:p>
          <w:p w14:paraId="7B14C3E2" w14:textId="62C4E5E6" w:rsidR="0035233C" w:rsidRDefault="0035233C" w:rsidP="0035233C">
            <w:pPr>
              <w:pStyle w:val="ListParagraph"/>
              <w:keepLines w:val="0"/>
              <w:numPr>
                <w:ilvl w:val="0"/>
                <w:numId w:val="11"/>
              </w:numPr>
              <w:spacing w:after="0"/>
              <w:ind w:left="175" w:hanging="120"/>
            </w:pPr>
            <w:r>
              <w:t>Measure and record the maximum temperature change.</w:t>
            </w:r>
          </w:p>
          <w:p w14:paraId="66ABA3B2" w14:textId="1953ED60" w:rsidR="0035233C" w:rsidRDefault="0035233C" w:rsidP="0035233C">
            <w:pPr>
              <w:pStyle w:val="ListParagraph"/>
              <w:keepLines w:val="0"/>
              <w:numPr>
                <w:ilvl w:val="0"/>
                <w:numId w:val="11"/>
              </w:numPr>
              <w:spacing w:after="0"/>
              <w:ind w:left="175" w:hanging="120"/>
            </w:pPr>
            <w:r>
              <w:t>Correctly add increasing amounts of sodium hydroxide.</w:t>
            </w:r>
          </w:p>
        </w:tc>
        <w:tc>
          <w:tcPr>
            <w:tcW w:w="4111" w:type="dxa"/>
          </w:tcPr>
          <w:p w14:paraId="61B3C166" w14:textId="77777777" w:rsidR="0035233C" w:rsidRDefault="0035233C" w:rsidP="0035233C">
            <w:pPr>
              <w:pStyle w:val="ListParagraph"/>
              <w:keepLines w:val="0"/>
              <w:numPr>
                <w:ilvl w:val="0"/>
                <w:numId w:val="11"/>
              </w:numPr>
              <w:spacing w:after="0"/>
              <w:ind w:left="246" w:hanging="190"/>
            </w:pPr>
            <w:r>
              <w:t>Students can talk about measuring a temperature change.</w:t>
            </w:r>
          </w:p>
          <w:p w14:paraId="480F48CF" w14:textId="63DD0748" w:rsidR="0035233C" w:rsidRDefault="0035233C" w:rsidP="0035233C">
            <w:pPr>
              <w:pStyle w:val="ListParagraph"/>
              <w:keepLines w:val="0"/>
              <w:numPr>
                <w:ilvl w:val="0"/>
                <w:numId w:val="11"/>
              </w:numPr>
              <w:spacing w:after="0"/>
              <w:ind w:left="246" w:hanging="190"/>
            </w:pPr>
            <w:r>
              <w:t>Students can explain that a lid and a polystyrene cup reduce energy loss from the reaction.</w:t>
            </w:r>
          </w:p>
          <w:p w14:paraId="139001AB" w14:textId="52049B60" w:rsidR="0035233C" w:rsidRDefault="0035233C" w:rsidP="00566BC6">
            <w:pPr>
              <w:pStyle w:val="ListParagraph"/>
              <w:keepLines w:val="0"/>
              <w:numPr>
                <w:ilvl w:val="0"/>
                <w:numId w:val="11"/>
              </w:numPr>
              <w:spacing w:after="0"/>
              <w:ind w:left="246" w:hanging="190"/>
            </w:pPr>
            <w:r>
              <w:t>Students can identify that the reaction is exothermic.</w:t>
            </w:r>
          </w:p>
        </w:tc>
      </w:tr>
      <w:tr w:rsidR="0035233C" w14:paraId="5B224485" w14:textId="77777777" w:rsidTr="0049271E">
        <w:trPr>
          <w:jc w:val="center"/>
        </w:trPr>
        <w:tc>
          <w:tcPr>
            <w:tcW w:w="1271" w:type="dxa"/>
          </w:tcPr>
          <w:p w14:paraId="1360B892" w14:textId="77777777" w:rsidR="0035233C" w:rsidRDefault="0035233C" w:rsidP="00566BC6">
            <w:r>
              <w:t>Effective at a higher level</w:t>
            </w:r>
          </w:p>
        </w:tc>
        <w:tc>
          <w:tcPr>
            <w:tcW w:w="3969" w:type="dxa"/>
          </w:tcPr>
          <w:p w14:paraId="009561E1" w14:textId="05514F92" w:rsidR="0035233C" w:rsidRDefault="006C01DC" w:rsidP="00566BC6">
            <w:r>
              <w:t>Students</w:t>
            </w:r>
            <w:r w:rsidR="0035233C">
              <w:t xml:space="preserve"> correctly:</w:t>
            </w:r>
          </w:p>
          <w:p w14:paraId="7DD8A7FC" w14:textId="2F970C46" w:rsidR="0035233C" w:rsidRDefault="0035233C" w:rsidP="0035233C">
            <w:pPr>
              <w:pStyle w:val="ListParagraph"/>
              <w:keepLines w:val="0"/>
              <w:numPr>
                <w:ilvl w:val="0"/>
                <w:numId w:val="11"/>
              </w:numPr>
              <w:spacing w:after="0"/>
              <w:ind w:left="175" w:hanging="120"/>
            </w:pPr>
            <w:r>
              <w:t xml:space="preserve"> Repeat each addition of sodium hydroxide.</w:t>
            </w:r>
          </w:p>
          <w:p w14:paraId="7BB1780A" w14:textId="7E03E762" w:rsidR="0035233C" w:rsidRDefault="0035233C" w:rsidP="0035233C">
            <w:pPr>
              <w:pStyle w:val="ListParagraph"/>
              <w:keepLines w:val="0"/>
              <w:numPr>
                <w:ilvl w:val="0"/>
                <w:numId w:val="11"/>
              </w:numPr>
              <w:spacing w:after="0"/>
              <w:ind w:left="175" w:hanging="120"/>
            </w:pPr>
            <w:r>
              <w:t>Calculate a mean for each volume.</w:t>
            </w:r>
          </w:p>
          <w:p w14:paraId="625708FF" w14:textId="284C6F99" w:rsidR="0035233C" w:rsidRDefault="0035233C" w:rsidP="0035233C">
            <w:pPr>
              <w:pStyle w:val="ListParagraph"/>
              <w:keepLines w:val="0"/>
              <w:numPr>
                <w:ilvl w:val="0"/>
                <w:numId w:val="11"/>
              </w:numPr>
              <w:spacing w:after="0"/>
              <w:ind w:left="175" w:hanging="120"/>
            </w:pPr>
            <w:r>
              <w:t>Draw a graph of volume against temperature increase correctly add 2 lines of best fit.</w:t>
            </w:r>
          </w:p>
        </w:tc>
        <w:tc>
          <w:tcPr>
            <w:tcW w:w="4111" w:type="dxa"/>
          </w:tcPr>
          <w:p w14:paraId="40011819" w14:textId="0B210F25" w:rsidR="0035233C" w:rsidRDefault="0035233C" w:rsidP="0035233C">
            <w:pPr>
              <w:pStyle w:val="ListParagraph"/>
              <w:keepLines w:val="0"/>
              <w:numPr>
                <w:ilvl w:val="0"/>
                <w:numId w:val="11"/>
              </w:numPr>
              <w:spacing w:after="0"/>
              <w:ind w:left="246" w:hanging="190"/>
            </w:pPr>
            <w:r>
              <w:t>Students can explain the reaction in terms of chemical bonds in the reactants and products.</w:t>
            </w:r>
          </w:p>
          <w:p w14:paraId="05063B6C" w14:textId="63370C5D" w:rsidR="0035233C" w:rsidRDefault="0035233C" w:rsidP="0035233C">
            <w:pPr>
              <w:pStyle w:val="ListParagraph"/>
              <w:keepLines w:val="0"/>
              <w:numPr>
                <w:ilvl w:val="0"/>
                <w:numId w:val="11"/>
              </w:numPr>
              <w:spacing w:after="0"/>
              <w:ind w:left="246" w:hanging="190"/>
            </w:pPr>
            <w:r>
              <w:t>Students can explain the apparent temperature drop as more volume of liquid is created but the concentration of acid is limiting.</w:t>
            </w:r>
          </w:p>
        </w:tc>
      </w:tr>
    </w:tbl>
    <w:p w14:paraId="4CAB9B8D" w14:textId="77777777" w:rsidR="0035233C" w:rsidRDefault="0035233C" w:rsidP="0035233C"/>
    <w:p w14:paraId="6E7B4603" w14:textId="77777777" w:rsidR="0035233C" w:rsidRPr="00994B3E" w:rsidRDefault="0035233C" w:rsidP="0035233C">
      <w:pPr>
        <w:pStyle w:val="Heading2"/>
      </w:pPr>
      <w:r w:rsidRPr="00994B3E">
        <w:t>Rates of reactions</w:t>
      </w:r>
    </w:p>
    <w:p w14:paraId="0A39E079" w14:textId="243CBD87" w:rsidR="0035233C" w:rsidRDefault="0035233C" w:rsidP="0035233C">
      <w:r>
        <w:t>For example, reacting calcium carbonate with two different concentrations of dilute acid and following the reaction over time.</w:t>
      </w:r>
    </w:p>
    <w:tbl>
      <w:tblPr>
        <w:tblStyle w:val="TableGrid"/>
        <w:tblW w:w="9351" w:type="dxa"/>
        <w:jc w:val="center"/>
        <w:tblLook w:val="04A0" w:firstRow="1" w:lastRow="0" w:firstColumn="1" w:lastColumn="0" w:noHBand="0" w:noVBand="1"/>
      </w:tblPr>
      <w:tblGrid>
        <w:gridCol w:w="1271"/>
        <w:gridCol w:w="3969"/>
        <w:gridCol w:w="4111"/>
      </w:tblGrid>
      <w:tr w:rsidR="0035233C" w14:paraId="513128DE" w14:textId="77777777" w:rsidTr="0049271E">
        <w:trPr>
          <w:jc w:val="center"/>
        </w:trPr>
        <w:tc>
          <w:tcPr>
            <w:tcW w:w="1271" w:type="dxa"/>
          </w:tcPr>
          <w:p w14:paraId="69652D57" w14:textId="77777777" w:rsidR="0035233C" w:rsidRDefault="0035233C" w:rsidP="00566BC6"/>
        </w:tc>
        <w:tc>
          <w:tcPr>
            <w:tcW w:w="3969" w:type="dxa"/>
          </w:tcPr>
          <w:p w14:paraId="698942F6" w14:textId="68F17636" w:rsidR="0035233C" w:rsidRPr="00B03AB5" w:rsidRDefault="0035233C" w:rsidP="006E24B3">
            <w:pPr>
              <w:rPr>
                <w:b/>
              </w:rPr>
            </w:pPr>
            <w:r w:rsidRPr="00B03AB5">
              <w:rPr>
                <w:b/>
              </w:rPr>
              <w:t>Hands on</w:t>
            </w:r>
          </w:p>
        </w:tc>
        <w:tc>
          <w:tcPr>
            <w:tcW w:w="4111" w:type="dxa"/>
          </w:tcPr>
          <w:p w14:paraId="51DAC7D5" w14:textId="7F858538" w:rsidR="0035233C" w:rsidRPr="00B03AB5" w:rsidRDefault="0035233C" w:rsidP="006E24B3">
            <w:pPr>
              <w:rPr>
                <w:b/>
              </w:rPr>
            </w:pPr>
            <w:r w:rsidRPr="00B03AB5">
              <w:rPr>
                <w:b/>
              </w:rPr>
              <w:t>Minds on</w:t>
            </w:r>
          </w:p>
        </w:tc>
      </w:tr>
      <w:tr w:rsidR="0035233C" w14:paraId="46657CD3" w14:textId="77777777" w:rsidTr="0049271E">
        <w:trPr>
          <w:jc w:val="center"/>
        </w:trPr>
        <w:tc>
          <w:tcPr>
            <w:tcW w:w="1271" w:type="dxa"/>
          </w:tcPr>
          <w:p w14:paraId="65F9BB77" w14:textId="77777777" w:rsidR="0035233C" w:rsidRDefault="0035233C" w:rsidP="00566BC6">
            <w:r>
              <w:t>Effective at a lower level</w:t>
            </w:r>
          </w:p>
        </w:tc>
        <w:tc>
          <w:tcPr>
            <w:tcW w:w="3969" w:type="dxa"/>
          </w:tcPr>
          <w:p w14:paraId="3899B6DF" w14:textId="7F7708E6" w:rsidR="0035233C" w:rsidRDefault="006C01DC" w:rsidP="00566BC6">
            <w:r>
              <w:t>Students</w:t>
            </w:r>
            <w:r w:rsidR="0035233C">
              <w:t xml:space="preserve"> correctly:</w:t>
            </w:r>
          </w:p>
          <w:p w14:paraId="7C095F67" w14:textId="415499F2" w:rsidR="0035233C" w:rsidRDefault="0035233C" w:rsidP="0035233C">
            <w:pPr>
              <w:pStyle w:val="ListParagraph"/>
              <w:keepLines w:val="0"/>
              <w:numPr>
                <w:ilvl w:val="0"/>
                <w:numId w:val="11"/>
              </w:numPr>
              <w:spacing w:after="0"/>
              <w:ind w:left="175" w:hanging="120"/>
            </w:pPr>
            <w:r>
              <w:t xml:space="preserve"> Set up the equipment to collect the produced gas.</w:t>
            </w:r>
          </w:p>
          <w:p w14:paraId="0E9DDCD2" w14:textId="5804843A" w:rsidR="0035233C" w:rsidRDefault="0035233C" w:rsidP="0035233C">
            <w:pPr>
              <w:pStyle w:val="ListParagraph"/>
              <w:keepLines w:val="0"/>
              <w:numPr>
                <w:ilvl w:val="0"/>
                <w:numId w:val="11"/>
              </w:numPr>
              <w:spacing w:after="0"/>
              <w:ind w:left="175" w:hanging="120"/>
            </w:pPr>
            <w:r>
              <w:t>Use a method of adding the reactants that minimises the amount of gas lost.</w:t>
            </w:r>
          </w:p>
          <w:p w14:paraId="592D1511" w14:textId="3F4EC8AB" w:rsidR="0035233C" w:rsidRDefault="0035233C" w:rsidP="0035233C">
            <w:pPr>
              <w:pStyle w:val="ListParagraph"/>
              <w:keepLines w:val="0"/>
              <w:numPr>
                <w:ilvl w:val="0"/>
                <w:numId w:val="11"/>
              </w:numPr>
              <w:spacing w:after="0"/>
              <w:ind w:left="175" w:hanging="120"/>
            </w:pPr>
            <w:r>
              <w:t>Correctly measure and record the volumes of gas collected over time.</w:t>
            </w:r>
          </w:p>
        </w:tc>
        <w:tc>
          <w:tcPr>
            <w:tcW w:w="4111" w:type="dxa"/>
          </w:tcPr>
          <w:p w14:paraId="318E1088" w14:textId="3AA36DA7" w:rsidR="0035233C" w:rsidRDefault="0035233C" w:rsidP="0035233C">
            <w:pPr>
              <w:pStyle w:val="ListParagraph"/>
              <w:keepLines w:val="0"/>
              <w:numPr>
                <w:ilvl w:val="0"/>
                <w:numId w:val="11"/>
              </w:numPr>
              <w:spacing w:after="0"/>
              <w:ind w:left="246" w:hanging="190"/>
            </w:pPr>
            <w:r>
              <w:t>Students can discuss how they are minimising gas loss.</w:t>
            </w:r>
          </w:p>
          <w:p w14:paraId="321D05B4" w14:textId="6E3660C5" w:rsidR="0035233C" w:rsidRDefault="0035233C" w:rsidP="0035233C">
            <w:pPr>
              <w:pStyle w:val="ListParagraph"/>
              <w:keepLines w:val="0"/>
              <w:numPr>
                <w:ilvl w:val="0"/>
                <w:numId w:val="11"/>
              </w:numPr>
              <w:spacing w:after="0"/>
              <w:ind w:left="246" w:hanging="190"/>
            </w:pPr>
            <w:r>
              <w:t>Students can identify the link between concentration and rate of reaction.</w:t>
            </w:r>
          </w:p>
          <w:p w14:paraId="5E96486E" w14:textId="34BF5A19" w:rsidR="0035233C" w:rsidRDefault="0035233C" w:rsidP="00566BC6">
            <w:pPr>
              <w:pStyle w:val="ListParagraph"/>
              <w:keepLines w:val="0"/>
              <w:numPr>
                <w:ilvl w:val="0"/>
                <w:numId w:val="11"/>
              </w:numPr>
              <w:spacing w:after="0"/>
              <w:ind w:left="246" w:hanging="190"/>
            </w:pPr>
            <w:r>
              <w:t>Students can use the kinetic theory to simply explain their results.</w:t>
            </w:r>
          </w:p>
        </w:tc>
      </w:tr>
      <w:tr w:rsidR="0035233C" w14:paraId="16DA78D1" w14:textId="77777777" w:rsidTr="0049271E">
        <w:trPr>
          <w:jc w:val="center"/>
        </w:trPr>
        <w:tc>
          <w:tcPr>
            <w:tcW w:w="1271" w:type="dxa"/>
          </w:tcPr>
          <w:p w14:paraId="3E7294D3" w14:textId="77777777" w:rsidR="0035233C" w:rsidRDefault="0035233C" w:rsidP="00566BC6">
            <w:r>
              <w:t>Effective at a higher level</w:t>
            </w:r>
          </w:p>
        </w:tc>
        <w:tc>
          <w:tcPr>
            <w:tcW w:w="3969" w:type="dxa"/>
          </w:tcPr>
          <w:p w14:paraId="4CC44B40" w14:textId="2FE7EFE2" w:rsidR="0035233C" w:rsidRDefault="006C01DC" w:rsidP="00566BC6">
            <w:r>
              <w:t>Students</w:t>
            </w:r>
            <w:r w:rsidR="0035233C">
              <w:t xml:space="preserve"> correctly:</w:t>
            </w:r>
          </w:p>
          <w:p w14:paraId="2187C5F8" w14:textId="6CB1990D" w:rsidR="0035233C" w:rsidRDefault="0035233C" w:rsidP="0035233C">
            <w:pPr>
              <w:pStyle w:val="ListParagraph"/>
              <w:keepLines w:val="0"/>
              <w:numPr>
                <w:ilvl w:val="0"/>
                <w:numId w:val="11"/>
              </w:numPr>
              <w:spacing w:after="0"/>
              <w:ind w:left="175" w:hanging="120"/>
            </w:pPr>
            <w:r>
              <w:t>Collect data for two different concentrations of acid.</w:t>
            </w:r>
          </w:p>
          <w:p w14:paraId="70C28E43" w14:textId="34F1018D" w:rsidR="0035233C" w:rsidRDefault="0035233C" w:rsidP="0035233C">
            <w:pPr>
              <w:pStyle w:val="ListParagraph"/>
              <w:keepLines w:val="0"/>
              <w:numPr>
                <w:ilvl w:val="0"/>
                <w:numId w:val="11"/>
              </w:numPr>
              <w:spacing w:after="0"/>
              <w:ind w:left="175" w:hanging="120"/>
            </w:pPr>
            <w:r>
              <w:t>Plot the results for both concentrations on the same graph.</w:t>
            </w:r>
          </w:p>
        </w:tc>
        <w:tc>
          <w:tcPr>
            <w:tcW w:w="4111" w:type="dxa"/>
          </w:tcPr>
          <w:p w14:paraId="72D89201" w14:textId="77777777" w:rsidR="0035233C" w:rsidRDefault="0035233C" w:rsidP="0035233C">
            <w:pPr>
              <w:pStyle w:val="ListParagraph"/>
              <w:keepLines w:val="0"/>
              <w:numPr>
                <w:ilvl w:val="0"/>
                <w:numId w:val="11"/>
              </w:numPr>
              <w:spacing w:after="0"/>
              <w:ind w:left="246" w:hanging="190"/>
            </w:pPr>
            <w:r>
              <w:t>Students can explain that the gradient of the line is related to the speed of reaction and also explain that both graphs plateau at the same level linked to the concentrations of reactants.</w:t>
            </w:r>
          </w:p>
          <w:p w14:paraId="5DCCDA2A" w14:textId="410EFEE2" w:rsidR="0035233C" w:rsidRDefault="0035233C" w:rsidP="00566BC6">
            <w:pPr>
              <w:pStyle w:val="ListParagraph"/>
              <w:keepLines w:val="0"/>
              <w:numPr>
                <w:ilvl w:val="0"/>
                <w:numId w:val="11"/>
              </w:numPr>
              <w:spacing w:after="0"/>
              <w:ind w:left="246" w:hanging="190"/>
            </w:pPr>
            <w:r>
              <w:t>Students can explain their results using ideas about increased chance of collisions with the required energy to react.</w:t>
            </w:r>
          </w:p>
        </w:tc>
      </w:tr>
    </w:tbl>
    <w:p w14:paraId="5659B18E" w14:textId="77777777" w:rsidR="0035233C" w:rsidRDefault="0035233C" w:rsidP="0035233C"/>
    <w:p w14:paraId="74626F46" w14:textId="77777777" w:rsidR="006C01DC" w:rsidRDefault="006C01DC">
      <w:pPr>
        <w:keepLines w:val="0"/>
        <w:spacing w:before="200" w:after="0"/>
        <w:rPr>
          <w:b/>
          <w:color w:val="2C4D67"/>
          <w:sz w:val="26"/>
          <w:szCs w:val="26"/>
        </w:rPr>
      </w:pPr>
      <w:r>
        <w:br w:type="page"/>
      </w:r>
    </w:p>
    <w:p w14:paraId="64F9117C" w14:textId="2875D1B7" w:rsidR="0035233C" w:rsidRPr="00994B3E" w:rsidRDefault="0035233C" w:rsidP="0035233C">
      <w:pPr>
        <w:pStyle w:val="Heading2"/>
      </w:pPr>
      <w:r w:rsidRPr="00994B3E">
        <w:lastRenderedPageBreak/>
        <w:t xml:space="preserve">Blank </w:t>
      </w:r>
      <w:r w:rsidR="00850C59">
        <w:t>template</w:t>
      </w:r>
    </w:p>
    <w:tbl>
      <w:tblPr>
        <w:tblStyle w:val="TableGrid"/>
        <w:tblW w:w="9351" w:type="dxa"/>
        <w:jc w:val="center"/>
        <w:tblLook w:val="04A0" w:firstRow="1" w:lastRow="0" w:firstColumn="1" w:lastColumn="0" w:noHBand="0" w:noVBand="1"/>
      </w:tblPr>
      <w:tblGrid>
        <w:gridCol w:w="1271"/>
        <w:gridCol w:w="3969"/>
        <w:gridCol w:w="4111"/>
      </w:tblGrid>
      <w:tr w:rsidR="0035233C" w14:paraId="5031EF76" w14:textId="77777777" w:rsidTr="0049271E">
        <w:trPr>
          <w:jc w:val="center"/>
        </w:trPr>
        <w:tc>
          <w:tcPr>
            <w:tcW w:w="1271" w:type="dxa"/>
          </w:tcPr>
          <w:p w14:paraId="4220B3A3" w14:textId="77777777" w:rsidR="0035233C" w:rsidRDefault="0035233C" w:rsidP="00566BC6"/>
        </w:tc>
        <w:tc>
          <w:tcPr>
            <w:tcW w:w="3969" w:type="dxa"/>
          </w:tcPr>
          <w:p w14:paraId="7B985C23" w14:textId="14E1F3C3" w:rsidR="0035233C" w:rsidRPr="00B03AB5" w:rsidRDefault="0035233C" w:rsidP="006E24B3">
            <w:pPr>
              <w:rPr>
                <w:b/>
              </w:rPr>
            </w:pPr>
            <w:r w:rsidRPr="00B03AB5">
              <w:rPr>
                <w:b/>
              </w:rPr>
              <w:t>Hands on</w:t>
            </w:r>
          </w:p>
        </w:tc>
        <w:tc>
          <w:tcPr>
            <w:tcW w:w="4111" w:type="dxa"/>
          </w:tcPr>
          <w:p w14:paraId="1F13A872" w14:textId="4E40ADAA" w:rsidR="0035233C" w:rsidRPr="00B03AB5" w:rsidRDefault="0035233C" w:rsidP="006E24B3">
            <w:pPr>
              <w:rPr>
                <w:b/>
              </w:rPr>
            </w:pPr>
            <w:r w:rsidRPr="00B03AB5">
              <w:rPr>
                <w:b/>
              </w:rPr>
              <w:t>Minds on</w:t>
            </w:r>
          </w:p>
        </w:tc>
      </w:tr>
      <w:tr w:rsidR="0035233C" w14:paraId="5CC0411F" w14:textId="77777777" w:rsidTr="0049271E">
        <w:trPr>
          <w:jc w:val="center"/>
        </w:trPr>
        <w:tc>
          <w:tcPr>
            <w:tcW w:w="1271" w:type="dxa"/>
          </w:tcPr>
          <w:p w14:paraId="26BC57BD" w14:textId="77777777" w:rsidR="0035233C" w:rsidRDefault="0035233C" w:rsidP="00566BC6">
            <w:r>
              <w:t>Effective at a lower level</w:t>
            </w:r>
          </w:p>
        </w:tc>
        <w:tc>
          <w:tcPr>
            <w:tcW w:w="3969" w:type="dxa"/>
          </w:tcPr>
          <w:p w14:paraId="227EA748" w14:textId="37BF9B4A" w:rsidR="0035233C" w:rsidRDefault="006C01DC" w:rsidP="00566BC6">
            <w:r>
              <w:t>Students</w:t>
            </w:r>
            <w:r w:rsidR="0035233C">
              <w:t xml:space="preserve"> correctly:</w:t>
            </w:r>
          </w:p>
          <w:p w14:paraId="6FE442C8" w14:textId="77777777" w:rsidR="0035233C" w:rsidRDefault="0035233C" w:rsidP="0035233C">
            <w:pPr>
              <w:pStyle w:val="ListParagraph"/>
              <w:keepLines w:val="0"/>
              <w:numPr>
                <w:ilvl w:val="0"/>
                <w:numId w:val="11"/>
              </w:numPr>
              <w:spacing w:after="0"/>
              <w:ind w:left="175" w:hanging="120"/>
            </w:pPr>
            <w:r>
              <w:t xml:space="preserve">   </w:t>
            </w:r>
          </w:p>
          <w:p w14:paraId="22E2D364" w14:textId="77777777" w:rsidR="0035233C" w:rsidRDefault="0035233C" w:rsidP="00566BC6"/>
          <w:p w14:paraId="59F2CD66" w14:textId="60D2D54F" w:rsidR="0035233C" w:rsidRDefault="0035233C" w:rsidP="00566BC6"/>
        </w:tc>
        <w:tc>
          <w:tcPr>
            <w:tcW w:w="4111" w:type="dxa"/>
          </w:tcPr>
          <w:p w14:paraId="52BEAEC6" w14:textId="77777777" w:rsidR="0035233C" w:rsidRDefault="0035233C" w:rsidP="0035233C">
            <w:pPr>
              <w:pStyle w:val="ListParagraph"/>
              <w:keepLines w:val="0"/>
              <w:numPr>
                <w:ilvl w:val="0"/>
                <w:numId w:val="11"/>
              </w:numPr>
              <w:spacing w:after="0"/>
              <w:ind w:left="246" w:hanging="190"/>
            </w:pPr>
            <w:r>
              <w:t xml:space="preserve">Students </w:t>
            </w:r>
          </w:p>
          <w:p w14:paraId="7843D145" w14:textId="77777777" w:rsidR="0035233C" w:rsidRDefault="0035233C" w:rsidP="00566BC6"/>
        </w:tc>
      </w:tr>
      <w:tr w:rsidR="0035233C" w14:paraId="7CE97F66" w14:textId="77777777" w:rsidTr="0049271E">
        <w:trPr>
          <w:jc w:val="center"/>
        </w:trPr>
        <w:tc>
          <w:tcPr>
            <w:tcW w:w="1271" w:type="dxa"/>
          </w:tcPr>
          <w:p w14:paraId="568F223E" w14:textId="77777777" w:rsidR="0035233C" w:rsidRDefault="0035233C" w:rsidP="00566BC6">
            <w:r>
              <w:t>Effective at a higher level</w:t>
            </w:r>
          </w:p>
        </w:tc>
        <w:tc>
          <w:tcPr>
            <w:tcW w:w="3969" w:type="dxa"/>
          </w:tcPr>
          <w:p w14:paraId="4C219883" w14:textId="604FBFC6" w:rsidR="0035233C" w:rsidRDefault="006C01DC" w:rsidP="00566BC6">
            <w:r>
              <w:t>Students</w:t>
            </w:r>
            <w:r w:rsidR="0035233C">
              <w:t xml:space="preserve"> correctly:</w:t>
            </w:r>
          </w:p>
          <w:p w14:paraId="3FE4BA53" w14:textId="77777777" w:rsidR="0035233C" w:rsidRDefault="0035233C" w:rsidP="0035233C">
            <w:pPr>
              <w:pStyle w:val="ListParagraph"/>
              <w:keepLines w:val="0"/>
              <w:numPr>
                <w:ilvl w:val="0"/>
                <w:numId w:val="11"/>
              </w:numPr>
              <w:spacing w:after="0"/>
              <w:ind w:left="175" w:hanging="120"/>
            </w:pPr>
            <w:r>
              <w:t xml:space="preserve">  </w:t>
            </w:r>
          </w:p>
        </w:tc>
        <w:tc>
          <w:tcPr>
            <w:tcW w:w="4111" w:type="dxa"/>
          </w:tcPr>
          <w:p w14:paraId="44CCC8BC" w14:textId="77777777" w:rsidR="0035233C" w:rsidRDefault="0035233C" w:rsidP="0035233C">
            <w:pPr>
              <w:pStyle w:val="ListParagraph"/>
              <w:keepLines w:val="0"/>
              <w:numPr>
                <w:ilvl w:val="0"/>
                <w:numId w:val="11"/>
              </w:numPr>
              <w:spacing w:after="0"/>
              <w:ind w:left="246" w:hanging="190"/>
            </w:pPr>
            <w:r>
              <w:t xml:space="preserve">Students </w:t>
            </w:r>
          </w:p>
          <w:p w14:paraId="7F3DB22E" w14:textId="77777777" w:rsidR="0035233C" w:rsidRDefault="0035233C" w:rsidP="00566BC6"/>
        </w:tc>
      </w:tr>
    </w:tbl>
    <w:p w14:paraId="416654EB" w14:textId="75DDC0F5" w:rsidR="007705C4" w:rsidRDefault="007705C4" w:rsidP="00B03AB5"/>
    <w:sectPr w:rsidR="007705C4"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71FA3996"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0F2AD8">
      <w:rPr>
        <w:noProof/>
        <w:sz w:val="16"/>
      </w:rPr>
      <w:t>3</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0F2AD8">
      <w:rPr>
        <w:noProof/>
        <w:sz w:val="16"/>
      </w:rPr>
      <w:t>3</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3AE8AED4"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0F2AD8">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0F2AD8">
      <w:rPr>
        <w:noProof/>
        <w:sz w:val="16"/>
      </w:rPr>
      <w:t>3</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72B405A" w:rsidR="00343CBA" w:rsidRDefault="007A5E1E" w:rsidP="009875B2">
    <w:pPr>
      <w:pStyle w:val="Header"/>
      <w:jc w:val="right"/>
    </w:pPr>
    <w:r>
      <w:rPr>
        <w:noProof/>
        <w:lang w:eastAsia="en-GB"/>
      </w:rPr>
      <w:drawing>
        <wp:inline distT="0" distB="0" distL="0" distR="0" wp14:anchorId="7EFAF15A" wp14:editId="0150A6DF">
          <wp:extent cx="1804670" cy="12192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1219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6962FC"/>
    <w:multiLevelType w:val="hybridMultilevel"/>
    <w:tmpl w:val="2FC0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FC3D0E"/>
    <w:multiLevelType w:val="hybridMultilevel"/>
    <w:tmpl w:val="56E05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03417C"/>
    <w:multiLevelType w:val="hybridMultilevel"/>
    <w:tmpl w:val="D1287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C6749C"/>
    <w:multiLevelType w:val="hybridMultilevel"/>
    <w:tmpl w:val="5EEC0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6"/>
    <w:lvlOverride w:ilvl="0">
      <w:startOverride w:val="2"/>
    </w:lvlOverride>
  </w:num>
  <w:num w:numId="6">
    <w:abstractNumId w:val="4"/>
  </w:num>
  <w:num w:numId="7">
    <w:abstractNumId w:val="1"/>
  </w:num>
  <w:num w:numId="8">
    <w:abstractNumId w:val="5"/>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3AFE"/>
    <w:rsid w:val="000355C3"/>
    <w:rsid w:val="0005693A"/>
    <w:rsid w:val="000709BF"/>
    <w:rsid w:val="000C253B"/>
    <w:rsid w:val="000D3D40"/>
    <w:rsid w:val="000D440E"/>
    <w:rsid w:val="000F2AD8"/>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365B5"/>
    <w:rsid w:val="00274F1A"/>
    <w:rsid w:val="0028034B"/>
    <w:rsid w:val="00281035"/>
    <w:rsid w:val="00287576"/>
    <w:rsid w:val="00291C4D"/>
    <w:rsid w:val="00292178"/>
    <w:rsid w:val="002931C1"/>
    <w:rsid w:val="002A3815"/>
    <w:rsid w:val="002C0301"/>
    <w:rsid w:val="002C4A08"/>
    <w:rsid w:val="002E44CD"/>
    <w:rsid w:val="002F0461"/>
    <w:rsid w:val="002F75BD"/>
    <w:rsid w:val="003019B6"/>
    <w:rsid w:val="00317496"/>
    <w:rsid w:val="003260A5"/>
    <w:rsid w:val="00334EAD"/>
    <w:rsid w:val="00343CBA"/>
    <w:rsid w:val="0035233C"/>
    <w:rsid w:val="00361A0D"/>
    <w:rsid w:val="003B3451"/>
    <w:rsid w:val="003B4C00"/>
    <w:rsid w:val="003C026F"/>
    <w:rsid w:val="003C098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271E"/>
    <w:rsid w:val="00496E2E"/>
    <w:rsid w:val="004A2D91"/>
    <w:rsid w:val="004A32F0"/>
    <w:rsid w:val="004B204F"/>
    <w:rsid w:val="004B2F65"/>
    <w:rsid w:val="005065D4"/>
    <w:rsid w:val="00510295"/>
    <w:rsid w:val="00515A5A"/>
    <w:rsid w:val="00520BDA"/>
    <w:rsid w:val="00543782"/>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C01DC"/>
    <w:rsid w:val="006D3E26"/>
    <w:rsid w:val="006E24B3"/>
    <w:rsid w:val="006F022D"/>
    <w:rsid w:val="006F6F73"/>
    <w:rsid w:val="00707FDD"/>
    <w:rsid w:val="00714A35"/>
    <w:rsid w:val="00723F23"/>
    <w:rsid w:val="007358E3"/>
    <w:rsid w:val="0075451A"/>
    <w:rsid w:val="00755C7E"/>
    <w:rsid w:val="007667DD"/>
    <w:rsid w:val="007705C4"/>
    <w:rsid w:val="00784400"/>
    <w:rsid w:val="007A5E1E"/>
    <w:rsid w:val="007B44FB"/>
    <w:rsid w:val="007C1813"/>
    <w:rsid w:val="007C4328"/>
    <w:rsid w:val="007D50E0"/>
    <w:rsid w:val="00805114"/>
    <w:rsid w:val="0081005F"/>
    <w:rsid w:val="00822603"/>
    <w:rsid w:val="008342DB"/>
    <w:rsid w:val="00836F07"/>
    <w:rsid w:val="00850C59"/>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03AB5"/>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1550"/>
    <w:rsid w:val="00E5491A"/>
    <w:rsid w:val="00E61773"/>
    <w:rsid w:val="00E86125"/>
    <w:rsid w:val="00EA0301"/>
    <w:rsid w:val="00EA0DFF"/>
    <w:rsid w:val="00EC0B8E"/>
    <w:rsid w:val="00ED34E6"/>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2JMvKa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902427AC-40FE-4BBA-B06D-BC332C186A75}">
  <ds:schemaRef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27d643f5-4560-4eff-9f48-d0fe6b2bec2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Defining the intended outcomes of practical work</vt:lpstr>
    </vt:vector>
  </TitlesOfParts>
  <Company>Royal Society of Chemistry</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Defining the intended outcomes of practical work</dc:title>
  <dc:subject>Demonstration silver acetylide as a contact explosive</dc:subject>
  <dc:creator>Royal Society of Chemistry</dc:creator>
  <dc:description>From How to maximise learning from practicals, Education in Chemistry, rsc.li/2JMvKa5</dc:description>
  <cp:lastModifiedBy>Lisa Clatworthy</cp:lastModifiedBy>
  <cp:revision>20</cp:revision>
  <dcterms:created xsi:type="dcterms:W3CDTF">2019-07-22T11:24:00Z</dcterms:created>
  <dcterms:modified xsi:type="dcterms:W3CDTF">2019-07-30T08:29:00Z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