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A4325" w14:textId="47D0B6D6" w:rsidR="00AC639E" w:rsidRDefault="00334105" w:rsidP="00AC639E">
      <w:pPr>
        <w:pStyle w:val="Heading1"/>
      </w:pPr>
      <w:bookmarkStart w:id="0" w:name="_GoBack"/>
      <w:bookmarkEnd w:id="0"/>
      <w:r>
        <w:t xml:space="preserve">Oxalic </w:t>
      </w:r>
      <w:r w:rsidR="002B0C77">
        <w:t>a</w:t>
      </w:r>
      <w:r>
        <w:t xml:space="preserve">cid as a </w:t>
      </w:r>
      <w:r w:rsidR="002B0C77">
        <w:t>p</w:t>
      </w:r>
      <w:r>
        <w:t xml:space="preserve">rimary </w:t>
      </w:r>
      <w:r w:rsidR="002B0C77">
        <w:t>s</w:t>
      </w:r>
      <w:r>
        <w:t>tandard</w:t>
      </w:r>
    </w:p>
    <w:p w14:paraId="15CE8942" w14:textId="2D02FB6C" w:rsidR="00AC639E" w:rsidRDefault="00AC639E" w:rsidP="00AC639E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A10F95">
        <w:rPr>
          <w:rStyle w:val="LeadparagraphChar"/>
        </w:rPr>
        <w:t>January 2021</w:t>
      </w:r>
      <w:r>
        <w:rPr>
          <w:rStyle w:val="LeadparagraphChar"/>
        </w:rPr>
        <w:br/>
      </w:r>
      <w:hyperlink r:id="rId10" w:history="1">
        <w:r w:rsidR="00105360" w:rsidRPr="00105360">
          <w:rPr>
            <w:rStyle w:val="Hyperlink"/>
          </w:rPr>
          <w:t>rsc.li/38EBm2N</w:t>
        </w:r>
      </w:hyperlink>
    </w:p>
    <w:p w14:paraId="6D233A77" w14:textId="19FFFB14" w:rsidR="002B0C77" w:rsidRPr="0007628B" w:rsidRDefault="007D7E06" w:rsidP="0007628B">
      <w:pPr>
        <w:rPr>
          <w:b/>
        </w:rPr>
      </w:pPr>
      <w:r w:rsidRPr="0007628B">
        <w:rPr>
          <w:rStyle w:val="normaltextrun"/>
          <w:b/>
          <w:color w:val="000000"/>
        </w:rPr>
        <w:t>This experiment provides experience in preparing a primary standard, using a balance and standardising solutions using titrations.</w:t>
      </w:r>
    </w:p>
    <w:p w14:paraId="2F745FE6" w14:textId="432B8494" w:rsidR="00AC639E" w:rsidRPr="0007628B" w:rsidRDefault="00334105" w:rsidP="00AC639E">
      <w:pPr>
        <w:pStyle w:val="Leadparagraph"/>
        <w:rPr>
          <w:b w:val="0"/>
          <w:bCs/>
        </w:rPr>
      </w:pPr>
      <w:r w:rsidRPr="0007628B">
        <w:rPr>
          <w:b w:val="0"/>
          <w:bCs/>
        </w:rPr>
        <w:t xml:space="preserve">Standard solutions are solutions of accurately known concentration. Many </w:t>
      </w:r>
      <w:r w:rsidR="0097481F">
        <w:rPr>
          <w:b w:val="0"/>
          <w:bCs/>
        </w:rPr>
        <w:t>compounds</w:t>
      </w:r>
      <w:r w:rsidR="0097481F" w:rsidRPr="0007628B">
        <w:rPr>
          <w:b w:val="0"/>
          <w:bCs/>
        </w:rPr>
        <w:t xml:space="preserve"> </w:t>
      </w:r>
      <w:r w:rsidRPr="0007628B">
        <w:rPr>
          <w:b w:val="0"/>
          <w:bCs/>
        </w:rPr>
        <w:t xml:space="preserve">are unsuitable for making </w:t>
      </w:r>
      <w:r w:rsidR="0097481F">
        <w:rPr>
          <w:b w:val="0"/>
          <w:bCs/>
        </w:rPr>
        <w:t xml:space="preserve">up </w:t>
      </w:r>
      <w:r w:rsidRPr="0007628B">
        <w:rPr>
          <w:b w:val="0"/>
          <w:bCs/>
        </w:rPr>
        <w:t xml:space="preserve">standard solutions directly, as they will not produce accurate concentrations. This can be for </w:t>
      </w:r>
      <w:r w:rsidR="0097481F" w:rsidRPr="00D706CE">
        <w:rPr>
          <w:b w:val="0"/>
          <w:bCs/>
        </w:rPr>
        <w:t>several</w:t>
      </w:r>
      <w:r w:rsidRPr="0007628B">
        <w:rPr>
          <w:b w:val="0"/>
          <w:bCs/>
        </w:rPr>
        <w:t xml:space="preserve"> reasons, for example sodium hydroxide is unsuitable as it absorbs water and carbon dioxide from the atmosphere. However</w:t>
      </w:r>
      <w:r w:rsidR="0097481F">
        <w:rPr>
          <w:b w:val="0"/>
          <w:bCs/>
        </w:rPr>
        <w:t>,</w:t>
      </w:r>
      <w:r w:rsidRPr="0007628B">
        <w:rPr>
          <w:b w:val="0"/>
          <w:bCs/>
        </w:rPr>
        <w:t xml:space="preserve"> </w:t>
      </w:r>
      <w:r w:rsidR="0097481F">
        <w:rPr>
          <w:b w:val="0"/>
          <w:bCs/>
        </w:rPr>
        <w:t xml:space="preserve">there are some compounds from which </w:t>
      </w:r>
      <w:r w:rsidR="0097481F" w:rsidRPr="00795176">
        <w:rPr>
          <w:b w:val="0"/>
          <w:bCs/>
        </w:rPr>
        <w:t xml:space="preserve">standard solutions </w:t>
      </w:r>
      <w:r w:rsidR="0097481F">
        <w:rPr>
          <w:b w:val="0"/>
          <w:bCs/>
        </w:rPr>
        <w:t xml:space="preserve">can be directly prepared </w:t>
      </w:r>
      <w:r w:rsidR="005D1335" w:rsidRPr="0007628B">
        <w:rPr>
          <w:b w:val="0"/>
          <w:bCs/>
        </w:rPr>
        <w:t>– known as primary standards.</w:t>
      </w:r>
      <w:r w:rsidRPr="0007628B">
        <w:rPr>
          <w:b w:val="0"/>
          <w:bCs/>
        </w:rPr>
        <w:t xml:space="preserve"> </w:t>
      </w:r>
    </w:p>
    <w:p w14:paraId="17E1D15F" w14:textId="35A44342" w:rsidR="00044550" w:rsidRPr="0007628B" w:rsidRDefault="00334105" w:rsidP="005D1335">
      <w:pPr>
        <w:pStyle w:val="paragraph"/>
        <w:textAlignment w:val="baseline"/>
        <w:rPr>
          <w:rStyle w:val="normaltextrun"/>
          <w:rFonts w:ascii="Arial" w:hAnsi="Arial" w:cs="Arial"/>
          <w:bCs/>
          <w:color w:val="000000"/>
          <w:sz w:val="20"/>
          <w:szCs w:val="20"/>
          <w:lang w:val="en-GB"/>
        </w:rPr>
      </w:pPr>
      <w:r w:rsidRPr="0007628B">
        <w:rPr>
          <w:rFonts w:ascii="Arial" w:hAnsi="Arial" w:cs="Arial"/>
          <w:bCs/>
          <w:sz w:val="20"/>
          <w:szCs w:val="20"/>
        </w:rPr>
        <w:t xml:space="preserve">These </w:t>
      </w:r>
      <w:r w:rsidR="000978D0">
        <w:rPr>
          <w:rFonts w:ascii="Arial" w:hAnsi="Arial" w:cs="Arial"/>
          <w:bCs/>
          <w:sz w:val="20"/>
          <w:szCs w:val="20"/>
        </w:rPr>
        <w:t>compounds</w:t>
      </w:r>
      <w:r w:rsidR="000978D0" w:rsidRPr="0007628B">
        <w:rPr>
          <w:rFonts w:ascii="Arial" w:hAnsi="Arial" w:cs="Arial"/>
          <w:bCs/>
          <w:sz w:val="20"/>
          <w:szCs w:val="20"/>
        </w:rPr>
        <w:t xml:space="preserve"> </w:t>
      </w:r>
      <w:r w:rsidRPr="0007628B">
        <w:rPr>
          <w:rStyle w:val="normaltextrun"/>
          <w:rFonts w:ascii="Arial" w:hAnsi="Arial" w:cs="Arial"/>
          <w:bCs/>
          <w:color w:val="000000"/>
          <w:sz w:val="20"/>
          <w:szCs w:val="20"/>
          <w:lang w:val="en-GB"/>
        </w:rPr>
        <w:t>must have</w:t>
      </w:r>
      <w:r w:rsidR="000978D0">
        <w:rPr>
          <w:rStyle w:val="normaltextrun"/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="005D1335" w:rsidRPr="0007628B">
        <w:rPr>
          <w:rStyle w:val="normaltextrun"/>
          <w:rFonts w:ascii="Arial" w:hAnsi="Arial" w:cs="Arial"/>
          <w:bCs/>
          <w:color w:val="000000"/>
          <w:sz w:val="20"/>
          <w:szCs w:val="20"/>
          <w:lang w:val="en-GB"/>
        </w:rPr>
        <w:t xml:space="preserve">a </w:t>
      </w:r>
      <w:r w:rsidRPr="0007628B">
        <w:rPr>
          <w:rStyle w:val="normaltextrun"/>
          <w:rFonts w:ascii="Arial" w:hAnsi="Arial" w:cs="Arial"/>
          <w:bCs/>
          <w:color w:val="000000"/>
          <w:sz w:val="20"/>
          <w:szCs w:val="20"/>
          <w:lang w:val="en-GB"/>
        </w:rPr>
        <w:t>high state of purity</w:t>
      </w:r>
      <w:r w:rsidR="005D1335" w:rsidRPr="0007628B">
        <w:rPr>
          <w:rStyle w:val="normaltextrun"/>
          <w:rFonts w:ascii="Arial" w:hAnsi="Arial" w:cs="Arial"/>
          <w:bCs/>
          <w:color w:val="000000"/>
          <w:sz w:val="20"/>
          <w:szCs w:val="20"/>
          <w:lang w:val="en-GB"/>
        </w:rPr>
        <w:t xml:space="preserve">, be stable </w:t>
      </w:r>
      <w:r w:rsidRPr="0007628B">
        <w:rPr>
          <w:rStyle w:val="normaltextrun"/>
          <w:rFonts w:ascii="Arial" w:hAnsi="Arial" w:cs="Arial"/>
          <w:bCs/>
          <w:color w:val="000000"/>
          <w:sz w:val="20"/>
          <w:szCs w:val="20"/>
          <w:lang w:val="en-GB"/>
        </w:rPr>
        <w:t>in air and in solution</w:t>
      </w:r>
      <w:r w:rsidR="005D1335" w:rsidRPr="0007628B">
        <w:rPr>
          <w:rStyle w:val="normaltextrun"/>
          <w:rFonts w:ascii="Arial" w:hAnsi="Arial" w:cs="Arial"/>
          <w:bCs/>
          <w:color w:val="000000"/>
          <w:sz w:val="20"/>
          <w:szCs w:val="20"/>
          <w:lang w:val="en-GB"/>
        </w:rPr>
        <w:t>, be</w:t>
      </w:r>
      <w:r w:rsidR="000978D0">
        <w:rPr>
          <w:rStyle w:val="normaltextrun"/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="005D1335" w:rsidRPr="0007628B">
        <w:rPr>
          <w:rStyle w:val="normaltextrun"/>
          <w:rFonts w:ascii="Arial" w:hAnsi="Arial" w:cs="Arial"/>
          <w:bCs/>
          <w:color w:val="000000"/>
          <w:sz w:val="20"/>
          <w:szCs w:val="20"/>
          <w:lang w:val="en-GB"/>
        </w:rPr>
        <w:t>soluble</w:t>
      </w:r>
      <w:r w:rsidR="000978D0">
        <w:rPr>
          <w:rStyle w:val="normaltextrun"/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="005D1335" w:rsidRPr="0007628B">
        <w:rPr>
          <w:rStyle w:val="normaltextrun"/>
          <w:rFonts w:ascii="Arial" w:hAnsi="Arial" w:cs="Arial"/>
          <w:bCs/>
          <w:color w:val="000000"/>
          <w:sz w:val="20"/>
          <w:szCs w:val="20"/>
          <w:lang w:val="en-GB"/>
        </w:rPr>
        <w:t>and have a</w:t>
      </w:r>
      <w:r w:rsidR="005D1335" w:rsidRPr="0007628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07628B">
        <w:rPr>
          <w:rStyle w:val="normaltextrun"/>
          <w:rFonts w:ascii="Arial" w:hAnsi="Arial" w:cs="Arial"/>
          <w:bCs/>
          <w:color w:val="000000"/>
          <w:sz w:val="20"/>
          <w:szCs w:val="20"/>
          <w:lang w:val="en-GB"/>
        </w:rPr>
        <w:t>reasonably high formula mass</w:t>
      </w:r>
      <w:r w:rsidR="005D1335" w:rsidRPr="0007628B">
        <w:rPr>
          <w:rStyle w:val="normaltextrun"/>
          <w:rFonts w:ascii="Arial" w:hAnsi="Arial" w:cs="Arial"/>
          <w:bCs/>
          <w:color w:val="000000"/>
          <w:sz w:val="20"/>
          <w:szCs w:val="20"/>
          <w:lang w:val="en-GB"/>
        </w:rPr>
        <w:t xml:space="preserve">. </w:t>
      </w:r>
    </w:p>
    <w:p w14:paraId="54B017A3" w14:textId="3DB82143" w:rsidR="00334105" w:rsidRPr="0007628B" w:rsidRDefault="005D1335" w:rsidP="005D1335">
      <w:pPr>
        <w:pStyle w:val="paragraph"/>
        <w:textAlignment w:val="baseline"/>
        <w:rPr>
          <w:rFonts w:ascii="Arial" w:hAnsi="Arial" w:cs="Arial"/>
          <w:bCs/>
          <w:color w:val="000000"/>
          <w:sz w:val="20"/>
          <w:szCs w:val="20"/>
        </w:rPr>
      </w:pPr>
      <w:r w:rsidRPr="0007628B">
        <w:rPr>
          <w:rStyle w:val="normaltextrun"/>
          <w:rFonts w:ascii="Arial" w:hAnsi="Arial" w:cs="Arial"/>
          <w:bCs/>
          <w:color w:val="000000"/>
          <w:sz w:val="20"/>
          <w:szCs w:val="20"/>
          <w:lang w:val="en-GB"/>
        </w:rPr>
        <w:t>Oxalic acid is suitable for use as a primary standard</w:t>
      </w:r>
      <w:r w:rsidR="000978D0">
        <w:rPr>
          <w:rStyle w:val="normaltextrun"/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Pr="0007628B">
        <w:rPr>
          <w:rStyle w:val="normaltextrun"/>
          <w:rFonts w:ascii="Arial" w:hAnsi="Arial" w:cs="Arial"/>
          <w:bCs/>
          <w:color w:val="000000"/>
          <w:sz w:val="20"/>
          <w:szCs w:val="20"/>
          <w:lang w:val="en-GB"/>
        </w:rPr>
        <w:t>and can then be used to standardise other solutions.</w:t>
      </w:r>
      <w:r w:rsidR="00044550" w:rsidRPr="0007628B">
        <w:rPr>
          <w:rStyle w:val="normaltextrun"/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</w:p>
    <w:p w14:paraId="1E8FD9DE" w14:textId="263172B8" w:rsidR="00AC639E" w:rsidRDefault="005D1335" w:rsidP="00AC639E">
      <w:pPr>
        <w:pStyle w:val="Heading2"/>
      </w:pPr>
      <w:r>
        <w:t xml:space="preserve">Preparing a </w:t>
      </w:r>
      <w:r w:rsidR="007D7E06">
        <w:t>s</w:t>
      </w:r>
      <w:r>
        <w:t xml:space="preserve">tandard </w:t>
      </w:r>
      <w:r w:rsidR="007D7E06">
        <w:t>s</w:t>
      </w:r>
      <w:r>
        <w:t xml:space="preserve">olution of </w:t>
      </w:r>
      <w:r w:rsidR="001530FC">
        <w:t xml:space="preserve">0.1 </w:t>
      </w:r>
      <w:proofErr w:type="spellStart"/>
      <w:r w:rsidR="001530FC">
        <w:t>mol</w:t>
      </w:r>
      <w:proofErr w:type="spellEnd"/>
      <w:r w:rsidR="001530FC">
        <w:t xml:space="preserve"> l</w:t>
      </w:r>
      <w:r w:rsidR="001530FC">
        <w:rPr>
          <w:vertAlign w:val="superscript"/>
        </w:rPr>
        <w:t>-1</w:t>
      </w:r>
      <w:r w:rsidR="001530FC">
        <w:t xml:space="preserve"> </w:t>
      </w:r>
      <w:r w:rsidR="007D7E06">
        <w:t>o</w:t>
      </w:r>
      <w:r>
        <w:t xml:space="preserve">xalic </w:t>
      </w:r>
      <w:r w:rsidR="007D7E06">
        <w:t>a</w:t>
      </w:r>
      <w:r>
        <w:t>cid</w:t>
      </w:r>
      <w:r w:rsidR="001530FC">
        <w:t xml:space="preserve"> </w:t>
      </w:r>
    </w:p>
    <w:p w14:paraId="4D780215" w14:textId="7FF0A599" w:rsidR="007F6238" w:rsidRDefault="001530FC" w:rsidP="00DD744F">
      <w:pPr>
        <w:pStyle w:val="Heading3"/>
        <w:rPr>
          <w:b w:val="0"/>
          <w:bCs w:val="0"/>
          <w:u w:val="single"/>
        </w:rPr>
      </w:pPr>
      <w:r>
        <w:t>Chemicals and apparatus</w:t>
      </w:r>
    </w:p>
    <w:p w14:paraId="474167C7" w14:textId="520AB39E" w:rsidR="001530FC" w:rsidRDefault="001530FC" w:rsidP="007F6238">
      <w:pPr>
        <w:spacing w:after="0"/>
      </w:pPr>
      <w:r>
        <w:t xml:space="preserve">Oxalic </w:t>
      </w:r>
      <w:r w:rsidR="0005288B">
        <w:t>a</w:t>
      </w:r>
      <w:r>
        <w:t>cid dehydrate</w:t>
      </w:r>
    </w:p>
    <w:p w14:paraId="4ED4AFF0" w14:textId="1C0722B4" w:rsidR="001530FC" w:rsidRDefault="001530FC" w:rsidP="007F6238">
      <w:pPr>
        <w:spacing w:after="0"/>
      </w:pPr>
      <w:r>
        <w:t>Deionised water</w:t>
      </w:r>
    </w:p>
    <w:p w14:paraId="58CB1E3E" w14:textId="03BF8B95" w:rsidR="001530FC" w:rsidRDefault="001530FC" w:rsidP="007F6238">
      <w:pPr>
        <w:spacing w:after="0"/>
      </w:pPr>
      <w:r>
        <w:t>Balance (accurate to 0.01</w:t>
      </w:r>
      <w:r w:rsidR="0005288B">
        <w:t xml:space="preserve"> </w:t>
      </w:r>
      <w:r>
        <w:t>g)</w:t>
      </w:r>
    </w:p>
    <w:p w14:paraId="0C5CA262" w14:textId="7F9985C4" w:rsidR="001530FC" w:rsidRDefault="001530FC" w:rsidP="007F6238">
      <w:pPr>
        <w:spacing w:after="0"/>
      </w:pPr>
      <w:r>
        <w:t xml:space="preserve">Wash </w:t>
      </w:r>
      <w:r w:rsidR="0005288B">
        <w:t>b</w:t>
      </w:r>
      <w:r>
        <w:t>ottle</w:t>
      </w:r>
    </w:p>
    <w:p w14:paraId="2483FEAF" w14:textId="1F671021" w:rsidR="001530FC" w:rsidRDefault="001530FC" w:rsidP="007F6238">
      <w:pPr>
        <w:spacing w:after="0"/>
      </w:pPr>
      <w:r>
        <w:t>250 cm</w:t>
      </w:r>
      <w:r>
        <w:rPr>
          <w:vertAlign w:val="superscript"/>
        </w:rPr>
        <w:t>3</w:t>
      </w:r>
      <w:r>
        <w:t xml:space="preserve"> volumetric flask</w:t>
      </w:r>
    </w:p>
    <w:p w14:paraId="4FE27457" w14:textId="634BE4B0" w:rsidR="001530FC" w:rsidRDefault="001530FC" w:rsidP="007F6238">
      <w:pPr>
        <w:spacing w:after="0"/>
      </w:pPr>
      <w:r>
        <w:t>250 cm</w:t>
      </w:r>
      <w:r>
        <w:rPr>
          <w:vertAlign w:val="superscript"/>
        </w:rPr>
        <w:t>3</w:t>
      </w:r>
      <w:r>
        <w:t xml:space="preserve"> beaker</w:t>
      </w:r>
    </w:p>
    <w:p w14:paraId="719120F5" w14:textId="67AA3BDB" w:rsidR="00520363" w:rsidRDefault="00520363" w:rsidP="007F6238">
      <w:pPr>
        <w:spacing w:after="0"/>
      </w:pPr>
    </w:p>
    <w:p w14:paraId="4F3B5BDA" w14:textId="77777777" w:rsidR="00DD744F" w:rsidRDefault="00520363" w:rsidP="007F6238">
      <w:pPr>
        <w:spacing w:after="0"/>
        <w:rPr>
          <w:b/>
          <w:bCs/>
        </w:rPr>
      </w:pPr>
      <w:r w:rsidRPr="00DD744F">
        <w:rPr>
          <w:rStyle w:val="Heading3Char"/>
        </w:rPr>
        <w:t>Hazards</w:t>
      </w:r>
    </w:p>
    <w:p w14:paraId="08C72D49" w14:textId="0B8DEE4B" w:rsidR="00520363" w:rsidRPr="00520363" w:rsidRDefault="00520363" w:rsidP="007F6238">
      <w:pPr>
        <w:spacing w:after="0"/>
        <w:rPr>
          <w:b/>
          <w:bCs/>
        </w:rPr>
      </w:pPr>
      <w:r>
        <w:t>Oxalic acid is</w:t>
      </w:r>
      <w:r w:rsidR="0007628B">
        <w:t xml:space="preserve"> </w:t>
      </w:r>
      <w:r w:rsidRPr="0007628B">
        <w:rPr>
          <w:rStyle w:val="Strong"/>
          <w:b w:val="0"/>
          <w:bCs w:val="0"/>
        </w:rPr>
        <w:t>harmful</w:t>
      </w:r>
      <w:r w:rsidR="0007628B">
        <w:rPr>
          <w:b/>
        </w:rPr>
        <w:t xml:space="preserve"> </w:t>
      </w:r>
      <w:r>
        <w:t xml:space="preserve">and severely irritating </w:t>
      </w:r>
      <w:r w:rsidR="00C224EA">
        <w:t>if</w:t>
      </w:r>
      <w:r>
        <w:t xml:space="preserve"> </w:t>
      </w:r>
      <w:r w:rsidR="00C224EA">
        <w:t>it is swallowed or comes into</w:t>
      </w:r>
      <w:r>
        <w:t xml:space="preserve"> contact with the skin or eyes. </w:t>
      </w:r>
      <w:r w:rsidR="00275287">
        <w:t>Oxalic acid d</w:t>
      </w:r>
      <w:r>
        <w:t xml:space="preserve">ust irritates the respiratory system. </w:t>
      </w:r>
      <w:r w:rsidR="00275287">
        <w:t>Oxalic acid s</w:t>
      </w:r>
      <w:r>
        <w:t>olutions can have serious systemic effects if ingested. Wear eye protection.</w:t>
      </w:r>
      <w:r w:rsidR="002D36AD" w:rsidRPr="002D36AD">
        <w:t xml:space="preserve"> SSERC recommends that splashes should be washed off the skin immediately and eye protection should be worn.</w:t>
      </w:r>
      <w:r w:rsidR="002D36AD">
        <w:rPr>
          <w:rFonts w:ascii="Roboto" w:hAnsi="Roboto"/>
          <w:color w:val="333333"/>
          <w:shd w:val="clear" w:color="auto" w:fill="F8F7F1"/>
        </w:rPr>
        <w:t> </w:t>
      </w:r>
    </w:p>
    <w:p w14:paraId="032A4129" w14:textId="77777777" w:rsidR="00DD744F" w:rsidRDefault="00DD744F" w:rsidP="00DD744F">
      <w:pPr>
        <w:spacing w:after="0"/>
        <w:rPr>
          <w:rStyle w:val="Heading3Char"/>
        </w:rPr>
      </w:pPr>
    </w:p>
    <w:p w14:paraId="6D8245F3" w14:textId="701C27A8" w:rsidR="00DD744F" w:rsidRDefault="00DD744F" w:rsidP="00DD744F">
      <w:pPr>
        <w:spacing w:after="0"/>
      </w:pPr>
      <w:r>
        <w:rPr>
          <w:rStyle w:val="Heading3Char"/>
        </w:rPr>
        <w:t>Method</w:t>
      </w:r>
    </w:p>
    <w:p w14:paraId="7C37BAF4" w14:textId="622416D0" w:rsidR="00DD744F" w:rsidRDefault="007F6238" w:rsidP="00DD744F">
      <w:pPr>
        <w:pStyle w:val="Numberedlist"/>
      </w:pPr>
      <w:r>
        <w:t xml:space="preserve">Calculate the mass of one mole of oxalic acid, </w:t>
      </w:r>
      <w:r w:rsidR="0018288A">
        <w:t>then</w:t>
      </w:r>
      <w:r>
        <w:t xml:space="preserve"> work out the mass required to make up 250 cm</w:t>
      </w:r>
      <w:r>
        <w:rPr>
          <w:vertAlign w:val="superscript"/>
        </w:rPr>
        <w:t>3</w:t>
      </w:r>
      <w:r>
        <w:t xml:space="preserve"> of 0.1 </w:t>
      </w:r>
      <w:proofErr w:type="spellStart"/>
      <w:r>
        <w:t>mol</w:t>
      </w:r>
      <w:proofErr w:type="spellEnd"/>
      <w:r>
        <w:t xml:space="preserve"> l</w:t>
      </w:r>
      <w:r>
        <w:rPr>
          <w:vertAlign w:val="superscript"/>
        </w:rPr>
        <w:t>-1</w:t>
      </w:r>
      <w:r>
        <w:t xml:space="preserve"> solution.</w:t>
      </w:r>
    </w:p>
    <w:p w14:paraId="6EA01302" w14:textId="58265593" w:rsidR="00DD744F" w:rsidRDefault="0007628B" w:rsidP="00DD744F">
      <w:pPr>
        <w:pStyle w:val="Numberedlist"/>
      </w:pPr>
      <w:r>
        <w:t>Put the 250 cm</w:t>
      </w:r>
      <w:r w:rsidRPr="00DD744F">
        <w:rPr>
          <w:vertAlign w:val="superscript"/>
        </w:rPr>
        <w:t>3</w:t>
      </w:r>
      <w:r>
        <w:t xml:space="preserve"> beaker</w:t>
      </w:r>
      <w:r w:rsidDel="00A639B1">
        <w:t xml:space="preserve"> </w:t>
      </w:r>
      <w:r>
        <w:t xml:space="preserve">on the balance. </w:t>
      </w:r>
      <w:r w:rsidR="00887981">
        <w:t>M</w:t>
      </w:r>
      <w:r w:rsidR="00211EFB">
        <w:t xml:space="preserve">easure </w:t>
      </w:r>
      <w:r w:rsidR="00537999">
        <w:t xml:space="preserve">out </w:t>
      </w:r>
      <w:r w:rsidR="00887981">
        <w:t xml:space="preserve">approximately </w:t>
      </w:r>
      <w:r w:rsidR="008B68E1">
        <w:t>the mass of</w:t>
      </w:r>
      <w:r w:rsidR="007F6238">
        <w:t xml:space="preserve"> oxalic acid </w:t>
      </w:r>
      <w:r w:rsidR="00887981">
        <w:t xml:space="preserve">calculated in step 1 </w:t>
      </w:r>
      <w:r w:rsidR="00211EFB">
        <w:t>in</w:t>
      </w:r>
      <w:r w:rsidR="008B68E1">
        <w:t xml:space="preserve">to </w:t>
      </w:r>
      <w:r w:rsidR="007F6238">
        <w:t>the cm</w:t>
      </w:r>
      <w:r w:rsidR="007F6238" w:rsidRPr="00DD744F">
        <w:rPr>
          <w:vertAlign w:val="superscript"/>
        </w:rPr>
        <w:t>3</w:t>
      </w:r>
      <w:r w:rsidR="007F6238">
        <w:t xml:space="preserve"> beaker. </w:t>
      </w:r>
      <w:r w:rsidR="00887981">
        <w:t>Record the accurate mass in your book</w:t>
      </w:r>
      <w:r w:rsidR="007F6238">
        <w:t>.</w:t>
      </w:r>
    </w:p>
    <w:p w14:paraId="5B38F1A4" w14:textId="79329AC7" w:rsidR="00DD744F" w:rsidRDefault="007F6238" w:rsidP="00DD744F">
      <w:pPr>
        <w:pStyle w:val="Numberedlist"/>
      </w:pPr>
      <w:r>
        <w:t>Add about 50</w:t>
      </w:r>
      <w:r w:rsidR="00753189">
        <w:t xml:space="preserve"> </w:t>
      </w:r>
      <w:r>
        <w:t>cm</w:t>
      </w:r>
      <w:r w:rsidRPr="00DD744F">
        <w:rPr>
          <w:vertAlign w:val="superscript"/>
        </w:rPr>
        <w:t>3</w:t>
      </w:r>
      <w:r>
        <w:t xml:space="preserve"> deionised water and stir to dissolve.</w:t>
      </w:r>
    </w:p>
    <w:p w14:paraId="7DFB9824" w14:textId="090FAFD2" w:rsidR="00DD744F" w:rsidRDefault="007F6238" w:rsidP="00DD744F">
      <w:pPr>
        <w:pStyle w:val="Numberedlist"/>
      </w:pPr>
      <w:r>
        <w:t xml:space="preserve">Pour </w:t>
      </w:r>
      <w:r w:rsidR="00753189">
        <w:t xml:space="preserve">the solution </w:t>
      </w:r>
      <w:r>
        <w:t>carefully into the 250</w:t>
      </w:r>
      <w:r w:rsidR="00753189">
        <w:t xml:space="preserve"> </w:t>
      </w:r>
      <w:r>
        <w:t>cm</w:t>
      </w:r>
      <w:r w:rsidRPr="00DD744F">
        <w:rPr>
          <w:vertAlign w:val="superscript"/>
        </w:rPr>
        <w:t>3</w:t>
      </w:r>
      <w:r>
        <w:t xml:space="preserve"> volumetric flask.</w:t>
      </w:r>
    </w:p>
    <w:p w14:paraId="6A6A748B" w14:textId="77777777" w:rsidR="00DD744F" w:rsidRDefault="007F6238" w:rsidP="00DD744F">
      <w:pPr>
        <w:pStyle w:val="Numberedlist"/>
      </w:pPr>
      <w:r>
        <w:t xml:space="preserve">Rinse out the beaker with deionised water at least twice, adding the </w:t>
      </w:r>
      <w:proofErr w:type="spellStart"/>
      <w:r>
        <w:t>rinsings</w:t>
      </w:r>
      <w:proofErr w:type="spellEnd"/>
      <w:r>
        <w:t xml:space="preserve"> to the flask.</w:t>
      </w:r>
    </w:p>
    <w:p w14:paraId="52A4BAA0" w14:textId="77777777" w:rsidR="00DD744F" w:rsidRDefault="007F6238" w:rsidP="00DD744F">
      <w:pPr>
        <w:pStyle w:val="Numberedlist"/>
      </w:pPr>
      <w:r>
        <w:t>Add deionised water to the volumetric flask until the bottom of the meniscus touches the line.</w:t>
      </w:r>
    </w:p>
    <w:p w14:paraId="79D4A0D1" w14:textId="12D818A3" w:rsidR="00DD744F" w:rsidRDefault="007F6238" w:rsidP="00DD744F">
      <w:pPr>
        <w:pStyle w:val="Numberedlist"/>
      </w:pPr>
      <w:r>
        <w:t xml:space="preserve">Stopper </w:t>
      </w:r>
      <w:r w:rsidR="00753189">
        <w:t xml:space="preserve">the flask </w:t>
      </w:r>
      <w:r>
        <w:t>and invert to mix.</w:t>
      </w:r>
    </w:p>
    <w:p w14:paraId="0E393C84" w14:textId="5BAF942E" w:rsidR="007F6238" w:rsidRPr="007F6238" w:rsidRDefault="007F6238" w:rsidP="00DD744F">
      <w:pPr>
        <w:pStyle w:val="Numberedlist"/>
      </w:pPr>
      <w:r>
        <w:t>Work out the accurate concentration of the oxalic acid solution.</w:t>
      </w:r>
    </w:p>
    <w:p w14:paraId="62479C6D" w14:textId="77777777" w:rsidR="00DD744F" w:rsidRDefault="00DD744F">
      <w:pPr>
        <w:keepLines w:val="0"/>
        <w:spacing w:before="200" w:after="0"/>
        <w:rPr>
          <w:b/>
          <w:color w:val="2C4D67"/>
          <w:sz w:val="26"/>
          <w:szCs w:val="26"/>
        </w:rPr>
      </w:pPr>
      <w:r>
        <w:br w:type="page"/>
      </w:r>
    </w:p>
    <w:p w14:paraId="7FA067EB" w14:textId="13746584" w:rsidR="00044550" w:rsidRPr="00044550" w:rsidRDefault="00044550" w:rsidP="00044550">
      <w:pPr>
        <w:pStyle w:val="Heading2"/>
      </w:pPr>
      <w:r>
        <w:lastRenderedPageBreak/>
        <w:t xml:space="preserve">Standardising 0.1 </w:t>
      </w:r>
      <w:proofErr w:type="spellStart"/>
      <w:r>
        <w:t>mol</w:t>
      </w:r>
      <w:proofErr w:type="spellEnd"/>
      <w:r>
        <w:t xml:space="preserve"> l</w:t>
      </w:r>
      <w:r>
        <w:rPr>
          <w:vertAlign w:val="superscript"/>
        </w:rPr>
        <w:t>-1</w:t>
      </w:r>
      <w:r>
        <w:t xml:space="preserve"> </w:t>
      </w:r>
      <w:r w:rsidR="00857CA5">
        <w:t>s</w:t>
      </w:r>
      <w:r>
        <w:t xml:space="preserve">odium </w:t>
      </w:r>
      <w:r w:rsidR="00857CA5">
        <w:t>h</w:t>
      </w:r>
      <w:r>
        <w:t>ydroxide solution</w:t>
      </w:r>
    </w:p>
    <w:p w14:paraId="242835DD" w14:textId="393131D2" w:rsidR="00044550" w:rsidRDefault="00044550" w:rsidP="00DD744F">
      <w:pPr>
        <w:pStyle w:val="Heading3"/>
        <w:rPr>
          <w:b w:val="0"/>
          <w:bCs w:val="0"/>
          <w:u w:val="single"/>
        </w:rPr>
      </w:pPr>
      <w:r>
        <w:t>Chemicals and apparatus</w:t>
      </w:r>
    </w:p>
    <w:p w14:paraId="70A8EA00" w14:textId="3A0760AD" w:rsidR="00044550" w:rsidRDefault="00044550" w:rsidP="00044550">
      <w:pPr>
        <w:spacing w:after="0"/>
      </w:pPr>
      <w:r>
        <w:t xml:space="preserve">Approximately 0.1 </w:t>
      </w:r>
      <w:proofErr w:type="spellStart"/>
      <w:r>
        <w:t>mol</w:t>
      </w:r>
      <w:proofErr w:type="spellEnd"/>
      <w:r>
        <w:t xml:space="preserve"> l</w:t>
      </w:r>
      <w:r>
        <w:rPr>
          <w:vertAlign w:val="superscript"/>
        </w:rPr>
        <w:t>-1</w:t>
      </w:r>
      <w:r>
        <w:t xml:space="preserve"> standard oxalic acid solution</w:t>
      </w:r>
    </w:p>
    <w:p w14:paraId="1ACBDE8C" w14:textId="25CD29E9" w:rsidR="00044550" w:rsidRDefault="00044550" w:rsidP="00044550">
      <w:pPr>
        <w:spacing w:after="0"/>
      </w:pPr>
      <w:r>
        <w:t xml:space="preserve">Approximately 0.1 </w:t>
      </w:r>
      <w:proofErr w:type="spellStart"/>
      <w:r>
        <w:t>mol</w:t>
      </w:r>
      <w:proofErr w:type="spellEnd"/>
      <w:r>
        <w:t xml:space="preserve"> l</w:t>
      </w:r>
      <w:r>
        <w:rPr>
          <w:vertAlign w:val="superscript"/>
        </w:rPr>
        <w:t>-1</w:t>
      </w:r>
      <w:r>
        <w:t xml:space="preserve"> sodium hydroxide solution</w:t>
      </w:r>
    </w:p>
    <w:p w14:paraId="4ACD9E18" w14:textId="7C9A64C5" w:rsidR="00044550" w:rsidRDefault="00044550" w:rsidP="00044550">
      <w:pPr>
        <w:spacing w:after="0"/>
      </w:pPr>
      <w:r>
        <w:t>Phenolphthalein indicator</w:t>
      </w:r>
    </w:p>
    <w:p w14:paraId="5923E34F" w14:textId="69CEC2A4" w:rsidR="00044550" w:rsidRDefault="00044550" w:rsidP="00044550">
      <w:pPr>
        <w:spacing w:after="0"/>
      </w:pPr>
      <w:r>
        <w:t>20</w:t>
      </w:r>
      <w:r w:rsidR="00857CA5">
        <w:t xml:space="preserve"> </w:t>
      </w:r>
      <w:r>
        <w:t>cm</w:t>
      </w:r>
      <w:r>
        <w:rPr>
          <w:vertAlign w:val="superscript"/>
        </w:rPr>
        <w:t>3</w:t>
      </w:r>
      <w:r>
        <w:t xml:space="preserve"> pipette and filler</w:t>
      </w:r>
    </w:p>
    <w:p w14:paraId="2C826B4A" w14:textId="3C0DF9DA" w:rsidR="00044550" w:rsidRDefault="00044550" w:rsidP="00044550">
      <w:pPr>
        <w:spacing w:after="0"/>
      </w:pPr>
      <w:r>
        <w:t>50</w:t>
      </w:r>
      <w:r w:rsidR="00857CA5">
        <w:t xml:space="preserve"> </w:t>
      </w:r>
      <w:r>
        <w:t>cm</w:t>
      </w:r>
      <w:r>
        <w:rPr>
          <w:vertAlign w:val="superscript"/>
        </w:rPr>
        <w:t>3</w:t>
      </w:r>
      <w:r>
        <w:t xml:space="preserve"> burette and stand</w:t>
      </w:r>
    </w:p>
    <w:p w14:paraId="491D3AC8" w14:textId="2DE19818" w:rsidR="00044550" w:rsidRDefault="00044550" w:rsidP="00044550">
      <w:pPr>
        <w:spacing w:after="0"/>
      </w:pPr>
      <w:r>
        <w:t>Conical flasks and beakers</w:t>
      </w:r>
    </w:p>
    <w:p w14:paraId="4294A2C4" w14:textId="71F22D8B" w:rsidR="00044550" w:rsidRDefault="00044550" w:rsidP="00044550">
      <w:pPr>
        <w:spacing w:after="0"/>
      </w:pPr>
      <w:r>
        <w:t>White tile</w:t>
      </w:r>
    </w:p>
    <w:p w14:paraId="420AA50B" w14:textId="77777777" w:rsidR="00DD744F" w:rsidRDefault="00DD744F" w:rsidP="00DD744F">
      <w:pPr>
        <w:pStyle w:val="Heading3"/>
      </w:pPr>
      <w:r>
        <w:t>Hazards</w:t>
      </w:r>
    </w:p>
    <w:p w14:paraId="3B6D817C" w14:textId="58E0E0F7" w:rsidR="00DD744F" w:rsidRDefault="009372FE" w:rsidP="00DD744F">
      <w:pPr>
        <w:spacing w:after="0"/>
        <w:rPr>
          <w:b/>
          <w:bCs/>
        </w:rPr>
      </w:pPr>
      <w:r>
        <w:t>Solutions of</w:t>
      </w:r>
      <w:r w:rsidR="00520363">
        <w:t xml:space="preserve"> </w:t>
      </w:r>
      <w:r>
        <w:t xml:space="preserve">oxalic acid </w:t>
      </w:r>
      <w:r w:rsidR="00520363">
        <w:t>can have serious systemic effects if ingested</w:t>
      </w:r>
      <w:r>
        <w:t xml:space="preserve"> and irritate the eyes and skin. </w:t>
      </w:r>
      <w:r w:rsidR="00EE243F">
        <w:t>Sodium hydroxide solution</w:t>
      </w:r>
      <w:r>
        <w:t xml:space="preserve"> is irritating to the eyes at this concentration. Wear eye protection and wash any splashes off skin immediately. Phenolphthalein solution is flammable due to being dissolved in alcohol.</w:t>
      </w:r>
    </w:p>
    <w:p w14:paraId="61F1A794" w14:textId="77777777" w:rsidR="00DD744F" w:rsidRDefault="00DD744F" w:rsidP="00DD744F">
      <w:pPr>
        <w:spacing w:after="0"/>
        <w:rPr>
          <w:b/>
          <w:bCs/>
        </w:rPr>
      </w:pPr>
    </w:p>
    <w:p w14:paraId="6C523F43" w14:textId="77777777" w:rsidR="00DD744F" w:rsidRPr="00DD744F" w:rsidRDefault="00DD744F" w:rsidP="00DD744F">
      <w:pPr>
        <w:pStyle w:val="Numberedlist"/>
        <w:numPr>
          <w:ilvl w:val="0"/>
          <w:numId w:val="0"/>
        </w:numPr>
        <w:ind w:left="340" w:hanging="340"/>
        <w:rPr>
          <w:b/>
          <w:bCs/>
        </w:rPr>
      </w:pPr>
      <w:r w:rsidRPr="00DD744F">
        <w:rPr>
          <w:rStyle w:val="Heading3Char"/>
        </w:rPr>
        <w:t>Method</w:t>
      </w:r>
    </w:p>
    <w:p w14:paraId="00B9FBCC" w14:textId="003937A8" w:rsidR="00DD744F" w:rsidRPr="00DD744F" w:rsidRDefault="00044550" w:rsidP="00DD744F">
      <w:pPr>
        <w:pStyle w:val="Numberedlist"/>
        <w:numPr>
          <w:ilvl w:val="0"/>
          <w:numId w:val="13"/>
        </w:numPr>
        <w:rPr>
          <w:b/>
          <w:bCs/>
        </w:rPr>
      </w:pPr>
      <w:r>
        <w:t xml:space="preserve">Rinse the pipette with the </w:t>
      </w:r>
      <w:r w:rsidR="0049501F">
        <w:t>oxalic acid</w:t>
      </w:r>
      <w:r>
        <w:t xml:space="preserve"> solution, and pipette 20</w:t>
      </w:r>
      <w:r w:rsidR="000047B0">
        <w:t xml:space="preserve"> </w:t>
      </w:r>
      <w:r>
        <w:t>cm</w:t>
      </w:r>
      <w:r w:rsidRPr="00DD744F">
        <w:rPr>
          <w:vertAlign w:val="superscript"/>
        </w:rPr>
        <w:t>3</w:t>
      </w:r>
      <w:r>
        <w:t xml:space="preserve"> </w:t>
      </w:r>
      <w:r w:rsidR="0049501F">
        <w:t>oxalic acid</w:t>
      </w:r>
      <w:r>
        <w:t xml:space="preserve"> into a conical flask.</w:t>
      </w:r>
    </w:p>
    <w:p w14:paraId="1C02165A" w14:textId="77777777" w:rsidR="00DD744F" w:rsidRDefault="00044550" w:rsidP="00E06854">
      <w:pPr>
        <w:pStyle w:val="Numberedlist"/>
      </w:pPr>
      <w:r>
        <w:t>Add a few drops of phenolphthalein solution.</w:t>
      </w:r>
      <w:r>
        <w:tab/>
      </w:r>
    </w:p>
    <w:p w14:paraId="4CDAAA31" w14:textId="6A9D492E" w:rsidR="00044550" w:rsidRDefault="00044550" w:rsidP="00E06854">
      <w:pPr>
        <w:pStyle w:val="Numberedlist"/>
      </w:pPr>
      <w:r>
        <w:t>Rinse and fill the burette with</w:t>
      </w:r>
      <w:r w:rsidR="0049501F">
        <w:t xml:space="preserve"> the sodium hydroxide solution. Note the initial reading on the bur</w:t>
      </w:r>
      <w:r w:rsidR="0007628B">
        <w:t>ette in</w:t>
      </w:r>
      <w:r w:rsidR="0049501F">
        <w:t xml:space="preserve"> the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49501F" w14:paraId="74257C5C" w14:textId="77777777" w:rsidTr="0049501F">
        <w:tc>
          <w:tcPr>
            <w:tcW w:w="2434" w:type="dxa"/>
          </w:tcPr>
          <w:p w14:paraId="4E1C3DB0" w14:textId="72516D8B" w:rsidR="0049501F" w:rsidRDefault="0049501F" w:rsidP="00520363">
            <w:pPr>
              <w:jc w:val="center"/>
            </w:pPr>
            <w:r>
              <w:t>Titration number</w:t>
            </w:r>
          </w:p>
        </w:tc>
        <w:tc>
          <w:tcPr>
            <w:tcW w:w="2434" w:type="dxa"/>
          </w:tcPr>
          <w:p w14:paraId="2C777882" w14:textId="710A492A" w:rsidR="0049501F" w:rsidRPr="0049501F" w:rsidRDefault="0049501F" w:rsidP="00520363">
            <w:pPr>
              <w:jc w:val="center"/>
              <w:rPr>
                <w:vertAlign w:val="superscript"/>
              </w:rPr>
            </w:pPr>
            <w:r>
              <w:t>Initial reading on burette / cm</w:t>
            </w:r>
            <w:r>
              <w:rPr>
                <w:vertAlign w:val="superscript"/>
              </w:rPr>
              <w:t>3</w:t>
            </w:r>
          </w:p>
        </w:tc>
        <w:tc>
          <w:tcPr>
            <w:tcW w:w="2434" w:type="dxa"/>
          </w:tcPr>
          <w:p w14:paraId="7E56D875" w14:textId="45E4760E" w:rsidR="0049501F" w:rsidRDefault="0049501F" w:rsidP="00520363">
            <w:pPr>
              <w:jc w:val="center"/>
            </w:pPr>
            <w:r>
              <w:t>Final reading on burette / cm</w:t>
            </w:r>
            <w:r>
              <w:rPr>
                <w:vertAlign w:val="superscript"/>
              </w:rPr>
              <w:t>3</w:t>
            </w:r>
          </w:p>
        </w:tc>
        <w:tc>
          <w:tcPr>
            <w:tcW w:w="2434" w:type="dxa"/>
          </w:tcPr>
          <w:p w14:paraId="64BAFA69" w14:textId="4A50F63F" w:rsidR="0049501F" w:rsidRDefault="0049501F" w:rsidP="00520363">
            <w:pPr>
              <w:jc w:val="center"/>
            </w:pPr>
            <w:r>
              <w:t xml:space="preserve">Volume of </w:t>
            </w:r>
            <w:proofErr w:type="spellStart"/>
            <w:r>
              <w:t>NaOH</w:t>
            </w:r>
            <w:proofErr w:type="spellEnd"/>
            <w:r>
              <w:t xml:space="preserve"> added</w:t>
            </w:r>
            <w:r w:rsidR="00520363">
              <w:t xml:space="preserve"> / cm</w:t>
            </w:r>
            <w:r w:rsidR="00520363">
              <w:rPr>
                <w:vertAlign w:val="superscript"/>
              </w:rPr>
              <w:t>3</w:t>
            </w:r>
          </w:p>
        </w:tc>
      </w:tr>
      <w:tr w:rsidR="0049501F" w14:paraId="78E20041" w14:textId="77777777" w:rsidTr="0049501F">
        <w:tc>
          <w:tcPr>
            <w:tcW w:w="2434" w:type="dxa"/>
          </w:tcPr>
          <w:p w14:paraId="5D20DD0A" w14:textId="1F03B9C4" w:rsidR="0049501F" w:rsidRDefault="00520363" w:rsidP="00520363">
            <w:pPr>
              <w:jc w:val="center"/>
            </w:pPr>
            <w:r>
              <w:t>1</w:t>
            </w:r>
          </w:p>
        </w:tc>
        <w:tc>
          <w:tcPr>
            <w:tcW w:w="2434" w:type="dxa"/>
          </w:tcPr>
          <w:p w14:paraId="50CCC025" w14:textId="77777777" w:rsidR="0049501F" w:rsidRDefault="0049501F" w:rsidP="00520363">
            <w:pPr>
              <w:jc w:val="center"/>
            </w:pPr>
          </w:p>
        </w:tc>
        <w:tc>
          <w:tcPr>
            <w:tcW w:w="2434" w:type="dxa"/>
          </w:tcPr>
          <w:p w14:paraId="59F41A6A" w14:textId="77777777" w:rsidR="0049501F" w:rsidRDefault="0049501F" w:rsidP="00520363">
            <w:pPr>
              <w:jc w:val="center"/>
            </w:pPr>
          </w:p>
        </w:tc>
        <w:tc>
          <w:tcPr>
            <w:tcW w:w="2434" w:type="dxa"/>
          </w:tcPr>
          <w:p w14:paraId="04A63F96" w14:textId="77777777" w:rsidR="0049501F" w:rsidRDefault="0049501F" w:rsidP="00520363">
            <w:pPr>
              <w:jc w:val="center"/>
            </w:pPr>
          </w:p>
        </w:tc>
      </w:tr>
      <w:tr w:rsidR="0049501F" w14:paraId="3DE3D2AA" w14:textId="77777777" w:rsidTr="0049501F">
        <w:tc>
          <w:tcPr>
            <w:tcW w:w="2434" w:type="dxa"/>
          </w:tcPr>
          <w:p w14:paraId="1130C89C" w14:textId="6CFA4FD8" w:rsidR="0049501F" w:rsidRDefault="00520363" w:rsidP="00520363">
            <w:pPr>
              <w:jc w:val="center"/>
            </w:pPr>
            <w:r>
              <w:t>2</w:t>
            </w:r>
          </w:p>
        </w:tc>
        <w:tc>
          <w:tcPr>
            <w:tcW w:w="2434" w:type="dxa"/>
          </w:tcPr>
          <w:p w14:paraId="178CBA0D" w14:textId="77777777" w:rsidR="0049501F" w:rsidRDefault="0049501F" w:rsidP="00520363">
            <w:pPr>
              <w:jc w:val="center"/>
            </w:pPr>
          </w:p>
        </w:tc>
        <w:tc>
          <w:tcPr>
            <w:tcW w:w="2434" w:type="dxa"/>
          </w:tcPr>
          <w:p w14:paraId="0CCA531A" w14:textId="77777777" w:rsidR="0049501F" w:rsidRDefault="0049501F" w:rsidP="00520363">
            <w:pPr>
              <w:jc w:val="center"/>
            </w:pPr>
          </w:p>
        </w:tc>
        <w:tc>
          <w:tcPr>
            <w:tcW w:w="2434" w:type="dxa"/>
          </w:tcPr>
          <w:p w14:paraId="48E2BFC5" w14:textId="77777777" w:rsidR="0049501F" w:rsidRDefault="0049501F" w:rsidP="00520363">
            <w:pPr>
              <w:jc w:val="center"/>
            </w:pPr>
          </w:p>
        </w:tc>
      </w:tr>
      <w:tr w:rsidR="0049501F" w14:paraId="555A05FC" w14:textId="77777777" w:rsidTr="0049501F">
        <w:tc>
          <w:tcPr>
            <w:tcW w:w="2434" w:type="dxa"/>
          </w:tcPr>
          <w:p w14:paraId="6815A563" w14:textId="59D601C9" w:rsidR="0049501F" w:rsidRDefault="00520363" w:rsidP="00520363">
            <w:pPr>
              <w:jc w:val="center"/>
            </w:pPr>
            <w:r>
              <w:t>3</w:t>
            </w:r>
          </w:p>
        </w:tc>
        <w:tc>
          <w:tcPr>
            <w:tcW w:w="2434" w:type="dxa"/>
          </w:tcPr>
          <w:p w14:paraId="2176BACE" w14:textId="77777777" w:rsidR="0049501F" w:rsidRDefault="0049501F" w:rsidP="00520363">
            <w:pPr>
              <w:jc w:val="center"/>
            </w:pPr>
          </w:p>
        </w:tc>
        <w:tc>
          <w:tcPr>
            <w:tcW w:w="2434" w:type="dxa"/>
          </w:tcPr>
          <w:p w14:paraId="62E943A1" w14:textId="77777777" w:rsidR="0049501F" w:rsidRDefault="0049501F" w:rsidP="00520363">
            <w:pPr>
              <w:jc w:val="center"/>
            </w:pPr>
          </w:p>
        </w:tc>
        <w:tc>
          <w:tcPr>
            <w:tcW w:w="2434" w:type="dxa"/>
          </w:tcPr>
          <w:p w14:paraId="29D46CAE" w14:textId="77777777" w:rsidR="0049501F" w:rsidRDefault="0049501F" w:rsidP="00520363">
            <w:pPr>
              <w:jc w:val="center"/>
            </w:pPr>
          </w:p>
        </w:tc>
      </w:tr>
    </w:tbl>
    <w:p w14:paraId="519EF7D2" w14:textId="77777777" w:rsidR="0049501F" w:rsidRDefault="0049501F" w:rsidP="00044550"/>
    <w:p w14:paraId="5E6E43D9" w14:textId="77777777" w:rsidR="00DD744F" w:rsidRDefault="0049501F" w:rsidP="00044550">
      <w:pPr>
        <w:pStyle w:val="Numberedlist"/>
      </w:pPr>
      <w:r>
        <w:t>Titrate the oxalic acid until a permanent colour change is just observed.</w:t>
      </w:r>
    </w:p>
    <w:p w14:paraId="0BBF7F40" w14:textId="30B0872A" w:rsidR="00DD744F" w:rsidRDefault="0049501F" w:rsidP="00044550">
      <w:pPr>
        <w:pStyle w:val="Numberedlist"/>
      </w:pPr>
      <w:r>
        <w:t xml:space="preserve">Repeat until </w:t>
      </w:r>
      <w:r w:rsidR="00B00E8D">
        <w:t>two</w:t>
      </w:r>
      <w:r>
        <w:t xml:space="preserve"> concordant results (within 0.2 cm</w:t>
      </w:r>
      <w:r w:rsidRPr="00DD744F">
        <w:rPr>
          <w:vertAlign w:val="superscript"/>
        </w:rPr>
        <w:t>3</w:t>
      </w:r>
      <w:r>
        <w:t>) are obtained</w:t>
      </w:r>
      <w:r w:rsidR="00A10F95">
        <w:t xml:space="preserve"> (note: </w:t>
      </w:r>
      <w:r w:rsidR="00520363">
        <w:t xml:space="preserve">more than </w:t>
      </w:r>
      <w:r w:rsidR="00B00E8D">
        <w:t>three</w:t>
      </w:r>
      <w:r w:rsidR="00520363">
        <w:t xml:space="preserve"> attempts may be needed).</w:t>
      </w:r>
    </w:p>
    <w:p w14:paraId="0B6D7966" w14:textId="3CFB3225" w:rsidR="0049501F" w:rsidRDefault="0049501F" w:rsidP="00044550">
      <w:pPr>
        <w:pStyle w:val="Numberedlist"/>
      </w:pPr>
      <w:r>
        <w:t>Calculate the average titre, and so calculate the accurate concentration of the sodium hydroxide.</w:t>
      </w:r>
    </w:p>
    <w:p w14:paraId="326CDAAB" w14:textId="0E710052" w:rsidR="0049501F" w:rsidRDefault="0049501F" w:rsidP="0049501F">
      <w:pPr>
        <w:pStyle w:val="Heading2"/>
      </w:pPr>
      <w:r>
        <w:t>Ways to extend the practical</w:t>
      </w:r>
    </w:p>
    <w:p w14:paraId="7361C912" w14:textId="77777777" w:rsidR="00DD744F" w:rsidRDefault="0049501F" w:rsidP="0049501F">
      <w:pPr>
        <w:pStyle w:val="Numberedlist"/>
        <w:numPr>
          <w:ilvl w:val="0"/>
          <w:numId w:val="14"/>
        </w:numPr>
      </w:pPr>
      <w:r>
        <w:t>Use the standardised sodium hydroxide to calculate the concentration of ethanoic acid in commercial vinegar solution by titrating using phenolphthalein as an indicator.</w:t>
      </w:r>
    </w:p>
    <w:p w14:paraId="0435B011" w14:textId="7F3E1F29" w:rsidR="0049501F" w:rsidRDefault="0049501F" w:rsidP="0049501F">
      <w:pPr>
        <w:pStyle w:val="Numberedlist"/>
        <w:numPr>
          <w:ilvl w:val="0"/>
          <w:numId w:val="14"/>
        </w:numPr>
      </w:pPr>
      <w:r>
        <w:t>Use the standardised sodium hydroxide to calculate the percentage of acid in marble via a back titration by reacting a known mass of marble with excess standard hydrochloric acid, then titrating the excess acid with the standard sodium hydroxide.</w:t>
      </w:r>
    </w:p>
    <w:sectPr w:rsidR="0049501F" w:rsidSect="00042CA7"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FDE9B" w14:textId="77777777" w:rsidR="00470A00" w:rsidRDefault="00470A00" w:rsidP="000D3D40">
      <w:r>
        <w:separator/>
      </w:r>
    </w:p>
  </w:endnote>
  <w:endnote w:type="continuationSeparator" w:id="0">
    <w:p w14:paraId="17CEC4BD" w14:textId="77777777" w:rsidR="00470A00" w:rsidRDefault="00470A00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2D76994D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703E81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703E81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703AD917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703E81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703E81">
      <w:rPr>
        <w:noProof/>
        <w:sz w:val="16"/>
      </w:rPr>
      <w:t>2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854C3" w14:textId="77777777" w:rsidR="00470A00" w:rsidRDefault="00470A00" w:rsidP="000D3D40">
      <w:r>
        <w:separator/>
      </w:r>
    </w:p>
  </w:footnote>
  <w:footnote w:type="continuationSeparator" w:id="0">
    <w:p w14:paraId="30AD4C11" w14:textId="77777777" w:rsidR="00470A00" w:rsidRDefault="00470A00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0540143B" w:rsidR="00343CBA" w:rsidRDefault="00AC639E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DE9AA0B" wp14:editId="29658A67">
          <wp:extent cx="900000" cy="900000"/>
          <wp:effectExtent l="0" t="0" r="0" b="0"/>
          <wp:docPr id="2" name="Picture 2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777E"/>
    <w:multiLevelType w:val="multilevel"/>
    <w:tmpl w:val="D728B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6441F"/>
    <w:multiLevelType w:val="hybridMultilevel"/>
    <w:tmpl w:val="3894E4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43329"/>
    <w:multiLevelType w:val="multilevel"/>
    <w:tmpl w:val="E902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356AEE"/>
    <w:multiLevelType w:val="hybridMultilevel"/>
    <w:tmpl w:val="E7263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23BAF"/>
    <w:multiLevelType w:val="hybridMultilevel"/>
    <w:tmpl w:val="C9425F62"/>
    <w:lvl w:ilvl="0" w:tplc="BA76F22E">
      <w:start w:val="1"/>
      <w:numFmt w:val="decimal"/>
      <w:pStyle w:val="Numberedlist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8B2E5A"/>
    <w:multiLevelType w:val="hybridMultilevel"/>
    <w:tmpl w:val="44DE6A10"/>
    <w:lvl w:ilvl="0" w:tplc="7D2C68C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0" w:hanging="360"/>
      </w:pPr>
    </w:lvl>
    <w:lvl w:ilvl="2" w:tplc="0809001B" w:tentative="1">
      <w:start w:val="1"/>
      <w:numFmt w:val="lowerRoman"/>
      <w:lvlText w:val="%3."/>
      <w:lvlJc w:val="right"/>
      <w:pPr>
        <w:ind w:left="2140" w:hanging="180"/>
      </w:pPr>
    </w:lvl>
    <w:lvl w:ilvl="3" w:tplc="0809000F" w:tentative="1">
      <w:start w:val="1"/>
      <w:numFmt w:val="decimal"/>
      <w:lvlText w:val="%4."/>
      <w:lvlJc w:val="left"/>
      <w:pPr>
        <w:ind w:left="2860" w:hanging="360"/>
      </w:pPr>
    </w:lvl>
    <w:lvl w:ilvl="4" w:tplc="08090019" w:tentative="1">
      <w:start w:val="1"/>
      <w:numFmt w:val="lowerLetter"/>
      <w:lvlText w:val="%5."/>
      <w:lvlJc w:val="left"/>
      <w:pPr>
        <w:ind w:left="3580" w:hanging="360"/>
      </w:pPr>
    </w:lvl>
    <w:lvl w:ilvl="5" w:tplc="0809001B" w:tentative="1">
      <w:start w:val="1"/>
      <w:numFmt w:val="lowerRoman"/>
      <w:lvlText w:val="%6."/>
      <w:lvlJc w:val="right"/>
      <w:pPr>
        <w:ind w:left="4300" w:hanging="180"/>
      </w:pPr>
    </w:lvl>
    <w:lvl w:ilvl="6" w:tplc="0809000F" w:tentative="1">
      <w:start w:val="1"/>
      <w:numFmt w:val="decimal"/>
      <w:lvlText w:val="%7."/>
      <w:lvlJc w:val="left"/>
      <w:pPr>
        <w:ind w:left="5020" w:hanging="360"/>
      </w:pPr>
    </w:lvl>
    <w:lvl w:ilvl="7" w:tplc="08090019" w:tentative="1">
      <w:start w:val="1"/>
      <w:numFmt w:val="lowerLetter"/>
      <w:lvlText w:val="%8."/>
      <w:lvlJc w:val="left"/>
      <w:pPr>
        <w:ind w:left="5740" w:hanging="360"/>
      </w:pPr>
    </w:lvl>
    <w:lvl w:ilvl="8" w:tplc="080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8"/>
    <w:lvlOverride w:ilvl="0">
      <w:startOverride w:val="2"/>
    </w:lvlOverride>
  </w:num>
  <w:num w:numId="6">
    <w:abstractNumId w:val="7"/>
  </w:num>
  <w:num w:numId="7">
    <w:abstractNumId w:val="3"/>
  </w:num>
  <w:num w:numId="8">
    <w:abstractNumId w:val="6"/>
  </w:num>
  <w:num w:numId="9">
    <w:abstractNumId w:val="2"/>
  </w:num>
  <w:num w:numId="10">
    <w:abstractNumId w:val="0"/>
  </w:num>
  <w:num w:numId="11">
    <w:abstractNumId w:val="4"/>
  </w:num>
  <w:num w:numId="12">
    <w:abstractNumId w:val="10"/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047B0"/>
    <w:rsid w:val="00012664"/>
    <w:rsid w:val="0001470F"/>
    <w:rsid w:val="0002726D"/>
    <w:rsid w:val="000355C3"/>
    <w:rsid w:val="00042CA7"/>
    <w:rsid w:val="00044550"/>
    <w:rsid w:val="0005288B"/>
    <w:rsid w:val="0005693A"/>
    <w:rsid w:val="000709BF"/>
    <w:rsid w:val="0007628B"/>
    <w:rsid w:val="000978D0"/>
    <w:rsid w:val="000D3D40"/>
    <w:rsid w:val="000D440E"/>
    <w:rsid w:val="000F4AAB"/>
    <w:rsid w:val="00105360"/>
    <w:rsid w:val="0010603F"/>
    <w:rsid w:val="00112D04"/>
    <w:rsid w:val="001167A2"/>
    <w:rsid w:val="0013305C"/>
    <w:rsid w:val="001530FC"/>
    <w:rsid w:val="00165309"/>
    <w:rsid w:val="00170457"/>
    <w:rsid w:val="0018288A"/>
    <w:rsid w:val="0018383B"/>
    <w:rsid w:val="001B7EB7"/>
    <w:rsid w:val="001D1E2A"/>
    <w:rsid w:val="001D7818"/>
    <w:rsid w:val="001E0F30"/>
    <w:rsid w:val="001F2D6F"/>
    <w:rsid w:val="001F589D"/>
    <w:rsid w:val="00200C3D"/>
    <w:rsid w:val="00200D49"/>
    <w:rsid w:val="002075B0"/>
    <w:rsid w:val="00210131"/>
    <w:rsid w:val="002117FF"/>
    <w:rsid w:val="00211EFB"/>
    <w:rsid w:val="00215D72"/>
    <w:rsid w:val="00232BDF"/>
    <w:rsid w:val="00274F1A"/>
    <w:rsid w:val="00275287"/>
    <w:rsid w:val="0028034B"/>
    <w:rsid w:val="00281035"/>
    <w:rsid w:val="00287576"/>
    <w:rsid w:val="00291C4D"/>
    <w:rsid w:val="00292178"/>
    <w:rsid w:val="002A3815"/>
    <w:rsid w:val="002B0C77"/>
    <w:rsid w:val="002C0301"/>
    <w:rsid w:val="002C4A08"/>
    <w:rsid w:val="002D36AD"/>
    <w:rsid w:val="002E44CD"/>
    <w:rsid w:val="002F0461"/>
    <w:rsid w:val="003019B6"/>
    <w:rsid w:val="003260A5"/>
    <w:rsid w:val="00334105"/>
    <w:rsid w:val="00334EAD"/>
    <w:rsid w:val="00343CBA"/>
    <w:rsid w:val="00361A0D"/>
    <w:rsid w:val="003B3451"/>
    <w:rsid w:val="003C026F"/>
    <w:rsid w:val="003D05E8"/>
    <w:rsid w:val="003D3F02"/>
    <w:rsid w:val="003D54D0"/>
    <w:rsid w:val="003D6B89"/>
    <w:rsid w:val="003E2810"/>
    <w:rsid w:val="003F24EB"/>
    <w:rsid w:val="003F631F"/>
    <w:rsid w:val="003F79F1"/>
    <w:rsid w:val="00400B44"/>
    <w:rsid w:val="00400C63"/>
    <w:rsid w:val="00413366"/>
    <w:rsid w:val="00424F9A"/>
    <w:rsid w:val="00427B37"/>
    <w:rsid w:val="004326E7"/>
    <w:rsid w:val="00460F13"/>
    <w:rsid w:val="004634FA"/>
    <w:rsid w:val="00470A00"/>
    <w:rsid w:val="004723CA"/>
    <w:rsid w:val="00490BB0"/>
    <w:rsid w:val="0049501F"/>
    <w:rsid w:val="00496E2E"/>
    <w:rsid w:val="004A2D91"/>
    <w:rsid w:val="004A32F0"/>
    <w:rsid w:val="004B204F"/>
    <w:rsid w:val="004B2F65"/>
    <w:rsid w:val="005065D4"/>
    <w:rsid w:val="00510295"/>
    <w:rsid w:val="00515A5A"/>
    <w:rsid w:val="00520363"/>
    <w:rsid w:val="00520BDA"/>
    <w:rsid w:val="005221D7"/>
    <w:rsid w:val="00536934"/>
    <w:rsid w:val="00537999"/>
    <w:rsid w:val="0054664B"/>
    <w:rsid w:val="005516AC"/>
    <w:rsid w:val="0056407C"/>
    <w:rsid w:val="00596ABE"/>
    <w:rsid w:val="005A7495"/>
    <w:rsid w:val="005C02D2"/>
    <w:rsid w:val="005D1335"/>
    <w:rsid w:val="005D668B"/>
    <w:rsid w:val="005F1C11"/>
    <w:rsid w:val="005F451D"/>
    <w:rsid w:val="00600551"/>
    <w:rsid w:val="0060128D"/>
    <w:rsid w:val="00613760"/>
    <w:rsid w:val="00613806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D3E26"/>
    <w:rsid w:val="006F6F73"/>
    <w:rsid w:val="00703E81"/>
    <w:rsid w:val="00707FDD"/>
    <w:rsid w:val="00714A35"/>
    <w:rsid w:val="00723F23"/>
    <w:rsid w:val="007358E3"/>
    <w:rsid w:val="00753189"/>
    <w:rsid w:val="0075451A"/>
    <w:rsid w:val="00755C7E"/>
    <w:rsid w:val="007667DD"/>
    <w:rsid w:val="007705C4"/>
    <w:rsid w:val="00784400"/>
    <w:rsid w:val="007909E1"/>
    <w:rsid w:val="007A5E1E"/>
    <w:rsid w:val="007C1813"/>
    <w:rsid w:val="007C4328"/>
    <w:rsid w:val="007D50E0"/>
    <w:rsid w:val="007D7E06"/>
    <w:rsid w:val="007F6238"/>
    <w:rsid w:val="00805114"/>
    <w:rsid w:val="0081005F"/>
    <w:rsid w:val="00813D0B"/>
    <w:rsid w:val="008342DB"/>
    <w:rsid w:val="00836F07"/>
    <w:rsid w:val="00853A62"/>
    <w:rsid w:val="00854D32"/>
    <w:rsid w:val="00857888"/>
    <w:rsid w:val="00857CA5"/>
    <w:rsid w:val="00870502"/>
    <w:rsid w:val="00873C13"/>
    <w:rsid w:val="00881418"/>
    <w:rsid w:val="00885B52"/>
    <w:rsid w:val="00887981"/>
    <w:rsid w:val="008A3B63"/>
    <w:rsid w:val="008A6AD0"/>
    <w:rsid w:val="008B3961"/>
    <w:rsid w:val="008B68E1"/>
    <w:rsid w:val="008C2782"/>
    <w:rsid w:val="008D4E24"/>
    <w:rsid w:val="008E2859"/>
    <w:rsid w:val="0090405B"/>
    <w:rsid w:val="00915C84"/>
    <w:rsid w:val="00923E53"/>
    <w:rsid w:val="009328DD"/>
    <w:rsid w:val="009372FE"/>
    <w:rsid w:val="009377C3"/>
    <w:rsid w:val="00972310"/>
    <w:rsid w:val="0097481F"/>
    <w:rsid w:val="00982F78"/>
    <w:rsid w:val="009875B2"/>
    <w:rsid w:val="00987FC3"/>
    <w:rsid w:val="009C5777"/>
    <w:rsid w:val="009D4E77"/>
    <w:rsid w:val="009F0DFC"/>
    <w:rsid w:val="009F3445"/>
    <w:rsid w:val="00A10F95"/>
    <w:rsid w:val="00A42400"/>
    <w:rsid w:val="00A50EEB"/>
    <w:rsid w:val="00A52886"/>
    <w:rsid w:val="00A639B1"/>
    <w:rsid w:val="00A71F04"/>
    <w:rsid w:val="00A75F4C"/>
    <w:rsid w:val="00A9584B"/>
    <w:rsid w:val="00AB1738"/>
    <w:rsid w:val="00AC639E"/>
    <w:rsid w:val="00AE621F"/>
    <w:rsid w:val="00AE7C6A"/>
    <w:rsid w:val="00AF3542"/>
    <w:rsid w:val="00AF776F"/>
    <w:rsid w:val="00B00E8D"/>
    <w:rsid w:val="00B20041"/>
    <w:rsid w:val="00B5716B"/>
    <w:rsid w:val="00B57B2A"/>
    <w:rsid w:val="00B87EF0"/>
    <w:rsid w:val="00BA512C"/>
    <w:rsid w:val="00BB1F22"/>
    <w:rsid w:val="00BE6499"/>
    <w:rsid w:val="00C17DDC"/>
    <w:rsid w:val="00C224EA"/>
    <w:rsid w:val="00C22A03"/>
    <w:rsid w:val="00C3053B"/>
    <w:rsid w:val="00C941C7"/>
    <w:rsid w:val="00CD10BF"/>
    <w:rsid w:val="00D174D9"/>
    <w:rsid w:val="00D20A6A"/>
    <w:rsid w:val="00D34A04"/>
    <w:rsid w:val="00D5111B"/>
    <w:rsid w:val="00D60214"/>
    <w:rsid w:val="00D62F8A"/>
    <w:rsid w:val="00D706CE"/>
    <w:rsid w:val="00D71A1A"/>
    <w:rsid w:val="00D90054"/>
    <w:rsid w:val="00DC64EC"/>
    <w:rsid w:val="00DD6FD3"/>
    <w:rsid w:val="00DD744F"/>
    <w:rsid w:val="00E0665D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243F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5E8"/>
    <w:rPr>
      <w:rFonts w:ascii="Arial" w:hAnsi="Arial" w:cs="Arial"/>
      <w:sz w:val="20"/>
      <w:szCs w:val="20"/>
    </w:rPr>
  </w:style>
  <w:style w:type="paragraph" w:customStyle="1" w:styleId="paragraph">
    <w:name w:val="paragraph"/>
    <w:basedOn w:val="Normal"/>
    <w:rsid w:val="00334105"/>
    <w:pPr>
      <w:keepLine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334105"/>
  </w:style>
  <w:style w:type="character" w:customStyle="1" w:styleId="eop">
    <w:name w:val="eop"/>
    <w:basedOn w:val="DefaultParagraphFont"/>
    <w:rsid w:val="00334105"/>
  </w:style>
  <w:style w:type="character" w:styleId="Strong">
    <w:name w:val="Strong"/>
    <w:basedOn w:val="DefaultParagraphFont"/>
    <w:uiPriority w:val="22"/>
    <w:qFormat/>
    <w:rsid w:val="00520363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4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44F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9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3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42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2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53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4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1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6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5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4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735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4366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5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7719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3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306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187657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43511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02644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0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93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06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0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17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80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301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4454940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427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46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97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24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887258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7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61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192887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58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81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3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rsc.li/38EBm2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purl.org/dc/elements/1.1/"/>
    <ds:schemaRef ds:uri="http://schemas.microsoft.com/office/2006/metadata/properties"/>
    <ds:schemaRef ds:uri="http://purl.org/dc/terms/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Oxalic acid as a primary standard</vt:lpstr>
    </vt:vector>
  </TitlesOfParts>
  <Company>Royal Society of Chemistry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Oxalic acid as a primary standard</dc:title>
  <dc:subject>Demonstration silver acetylide as a contact explosive</dc:subject>
  <dc:creator>Royal Society of Chemistry</dc:creator>
  <cp:keywords>oxalic acid; sodium hydroxide; Advanced Higher; chemistry; titration; practical experiment</cp:keywords>
  <dc:description>From Dangerous dinners, Education in Chemistry, rsc.li/38EBm2N</dc:description>
  <cp:lastModifiedBy>Lisa Clatworthy</cp:lastModifiedBy>
  <cp:revision>50</cp:revision>
  <dcterms:created xsi:type="dcterms:W3CDTF">2020-11-11T23:25:00Z</dcterms:created>
  <dcterms:modified xsi:type="dcterms:W3CDTF">2020-11-18T16:45:00Z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